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FF000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天津市滨海新区知识产权局（本级）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年部门预算</w:t>
      </w:r>
    </w:p>
    <w:p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br w:type="page"/>
      </w:r>
    </w:p>
    <w:p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 录</w:t>
      </w:r>
    </w:p>
    <w:p>
      <w:pPr>
        <w:spacing w:line="600" w:lineRule="exact"/>
        <w:rPr>
          <w:rFonts w:hint="eastAsia" w:ascii="黑体" w:eastAsia="黑体"/>
          <w:sz w:val="30"/>
          <w:szCs w:val="30"/>
        </w:rPr>
      </w:pP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第一部分  概 况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一、主要职责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二、机构设置情况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第二部分  202</w:t>
      </w:r>
      <w:r>
        <w:rPr>
          <w:rFonts w:hint="eastAsia" w:ascii="仿宋_GB2312" w:hAnsi="Times New Roman" w:eastAsia="仿宋_GB2312"/>
          <w:b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sz w:val="30"/>
          <w:szCs w:val="30"/>
        </w:rPr>
        <w:t>年部门预算情况说明</w:t>
      </w:r>
    </w:p>
    <w:p>
      <w:pPr>
        <w:spacing w:line="600" w:lineRule="exact"/>
        <w:ind w:firstLine="594" w:firstLineChars="198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一、关于收支总表的说明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二、关于收入总表的说明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三、关于支出总表的说明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四、关于财政拨款收支总表的说明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五、关于一般公共预算支出表的说明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六、关于一般公共预算基本支出表的说明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七、</w:t>
      </w:r>
      <w:r>
        <w:rPr>
          <w:rFonts w:hint="eastAsia" w:ascii="仿宋_GB2312" w:hAnsi="Times New Roman" w:eastAsia="仿宋_GB2312"/>
          <w:spacing w:val="-20"/>
          <w:sz w:val="30"/>
          <w:szCs w:val="30"/>
        </w:rPr>
        <w:t>关于一般公共预算“三公”经费支出表的说明</w:t>
      </w:r>
    </w:p>
    <w:p>
      <w:pPr>
        <w:spacing w:line="600" w:lineRule="exact"/>
        <w:ind w:left="1200" w:leftChars="250" w:hanging="600" w:hangingChars="200"/>
        <w:rPr>
          <w:rFonts w:hint="eastAsia" w:ascii="仿宋_GB2312" w:hAnsi="Times New Roman" w:eastAsia="仿宋_GB2312"/>
          <w:spacing w:val="-20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八、关于政府性基金预算支出表的说明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九、关于国有资本经营预算支出表的说明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十、其他重要事项的情况说明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第三部分  名词解释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第四部分  202</w:t>
      </w:r>
      <w:r>
        <w:rPr>
          <w:rFonts w:hint="eastAsia" w:ascii="仿宋_GB2312" w:hAnsi="Times New Roman" w:eastAsia="仿宋_GB2312"/>
          <w:b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sz w:val="30"/>
          <w:szCs w:val="30"/>
        </w:rPr>
        <w:t>年部门预算表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一、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年收支总表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二、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年收入总表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三、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年支出总表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四、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年财政拨款收支总表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五、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年一般公共预算支出表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六、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年一般公共预算基本支出表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七、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sz w:val="30"/>
          <w:szCs w:val="30"/>
        </w:rPr>
        <w:t>年一般公共预算“三公”经费支出表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八、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年政府性基金预算支出表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九、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sz w:val="30"/>
          <w:szCs w:val="30"/>
        </w:rPr>
        <w:t>年国有资本经营预算支出表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年项目支出表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十一、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年政府采购预算表</w:t>
      </w:r>
    </w:p>
    <w:p>
      <w:pPr>
        <w:spacing w:line="600" w:lineRule="exact"/>
        <w:ind w:firstLine="594" w:firstLineChars="198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十二、关于空表的说明</w:t>
      </w:r>
    </w:p>
    <w:p>
      <w:pPr>
        <w:pStyle w:val="8"/>
        <w:tabs>
          <w:tab w:val="right" w:leader="dot" w:pos="8296"/>
        </w:tabs>
        <w:spacing w:line="600" w:lineRule="exact"/>
        <w:ind w:left="0"/>
        <w:rPr>
          <w:rFonts w:ascii="黑体" w:eastAsia="黑体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474" w:bottom="1304" w:left="1588" w:header="765" w:footer="765" w:gutter="0"/>
          <w:pgNumType w:fmt="numberInDash" w:start="1"/>
          <w:cols w:space="720" w:num="1"/>
          <w:docGrid w:linePitch="326" w:charSpace="0"/>
        </w:sectPr>
      </w:pPr>
    </w:p>
    <w:p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sz w:val="48"/>
          <w:szCs w:val="48"/>
        </w:rPr>
      </w:pPr>
      <w:bookmarkStart w:id="0" w:name="_Toc78784554"/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第一部分  概 况</w:t>
      </w:r>
      <w:bookmarkEnd w:id="0"/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1" w:name="_Toc78784555"/>
      <w:r>
        <w:rPr>
          <w:rFonts w:hint="eastAsia" w:ascii="仿宋_GB2312" w:hAnsi="Times New Roman" w:eastAsia="仿宋_GB2312"/>
          <w:b/>
          <w:sz w:val="30"/>
          <w:szCs w:val="30"/>
        </w:rPr>
        <w:t>一、主要职责</w:t>
      </w:r>
      <w:bookmarkEnd w:id="1"/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2" w:name="_Toc78784556"/>
      <w:r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贯彻执行国家有关商标、专利、原产地地理标志、集成电路布图设计等知识产权方面的法律法规、规章政策。贯彻国家和本市知识产权战略，拟订和组织实施本区知识产权战略。拟订加强知识产权强区建设的发展规划。拟订和组织实施强化本区知识产权创造、保护、运用、管理、服务的政策和制度。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负责保护知识产权。组织实施国家严格保护商标、由主管部门根据有关主要职责填写。专利、原产地地理标志、集成电路布图设计等知识产权的制度。研究鼓励新领域、新业态、新模式创新的知识产权保护、管理和服务政策。研究提出并组织实施知识产权保护体系建设方案，推动建设知识产权保护体系。负责商标、专利等领域执法的业务指导。指导全区知识产权争议处理、维权援助和纠纷调处。组织开展知识产权风险预测预警工作。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负责促进知识产权运用。组织实施知识产权运用和规范交易的政策，促进知识产权转移转化。规范知识产权无形资产评估工作。落实知识产权中介服务机构发展与监管的政策措施。指导和推动知识产权质押融资等工作。负责知识产权专项资金管理工作。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（四）负责建立知识产权公共服务体系。建设便企利民、互联互通的全区知识产权信息公共服务平台，推动商标、专利、原产地地理标志等知识产权信息传播利用。负责知识产权宣传和培训。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（五）负责统筹协调涉外知识产权事宜。负责实施知识产权涉外工作的政策，开展知识产权工作的合作与交流活动。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（六）负责本区知识产权人才队伍建设工作。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（七）做好本部门安全生产工作，在职责范围内为安全生产工作提供支持保障。负责督促所属单位落实安全生产有关法律法规。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（八）配合有关部门推动招商引资工作。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（九）完成区委、区政府交办的其他任务。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二、机构设置</w:t>
      </w:r>
      <w:bookmarkEnd w:id="2"/>
      <w:r>
        <w:rPr>
          <w:rFonts w:hint="eastAsia" w:ascii="仿宋_GB2312" w:hAnsi="Times New Roman" w:eastAsia="仿宋_GB2312"/>
          <w:b/>
          <w:sz w:val="30"/>
          <w:szCs w:val="30"/>
        </w:rPr>
        <w:t>情况</w:t>
      </w:r>
    </w:p>
    <w:p>
      <w:pPr>
        <w:spacing w:line="60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本</w:t>
      </w:r>
      <w:r>
        <w:rPr>
          <w:rFonts w:ascii="仿宋_GB2312" w:hAnsi="Times New Roman" w:eastAsia="仿宋_GB2312"/>
          <w:sz w:val="30"/>
          <w:szCs w:val="30"/>
        </w:rPr>
        <w:t>部门内设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3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个职能处室；下辖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个预算单位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</w:p>
    <w:p>
      <w:pPr>
        <w:spacing w:line="600" w:lineRule="exact"/>
        <w:ind w:firstLine="600"/>
        <w:jc w:val="both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纳入本部门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sz w:val="30"/>
          <w:szCs w:val="30"/>
        </w:rPr>
        <w:t>年部门预算编制范围的预算单位包括：</w:t>
      </w:r>
    </w:p>
    <w:p>
      <w:pPr>
        <w:spacing w:line="600" w:lineRule="exact"/>
        <w:ind w:firstLine="600"/>
        <w:jc w:val="both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1.</w:t>
      </w:r>
      <w:r>
        <w:rPr>
          <w:rFonts w:hint="eastAsia" w:ascii="仿宋_GB2312" w:hAnsi="Times New Roman" w:eastAsia="仿宋_GB2312"/>
          <w:color w:val="000000"/>
          <w:sz w:val="30"/>
          <w:szCs w:val="30"/>
          <w:lang w:val="en-US" w:eastAsia="zh-CN"/>
        </w:rPr>
        <w:t>天津市滨海新区知识产权局</w:t>
      </w:r>
      <w:r>
        <w:rPr>
          <w:rFonts w:hint="eastAsia" w:ascii="仿宋_GB2312" w:hAnsi="Times New Roman" w:eastAsia="仿宋_GB2312"/>
          <w:sz w:val="30"/>
          <w:szCs w:val="30"/>
        </w:rPr>
        <w:t>本级</w:t>
      </w:r>
    </w:p>
    <w:p>
      <w:pPr>
        <w:rPr>
          <w:rFonts w:ascii="方正小标宋简体" w:hAnsi="方正小标宋简体" w:eastAsia="方正小标宋简体" w:cs="方正小标宋简体"/>
          <w:b/>
          <w:sz w:val="48"/>
          <w:szCs w:val="48"/>
        </w:rPr>
      </w:pPr>
      <w:bookmarkStart w:id="3" w:name="_Toc78784570"/>
      <w:r>
        <w:rPr>
          <w:rFonts w:ascii="方正小标宋简体" w:hAnsi="方正小标宋简体" w:eastAsia="方正小标宋简体" w:cs="方正小标宋简体"/>
          <w:b/>
          <w:sz w:val="48"/>
          <w:szCs w:val="48"/>
        </w:rPr>
        <w:br w:type="page"/>
      </w:r>
    </w:p>
    <w:p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sz w:val="48"/>
          <w:szCs w:val="48"/>
        </w:rPr>
      </w:pPr>
      <w:r>
        <w:rPr>
          <w:rFonts w:ascii="方正小标宋简体" w:hAnsi="方正小标宋简体" w:eastAsia="方正小标宋简体" w:cs="方正小标宋简体"/>
          <w:b w:val="0"/>
          <w:sz w:val="48"/>
          <w:szCs w:val="48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二</w:t>
      </w:r>
      <w:r>
        <w:rPr>
          <w:rFonts w:ascii="方正小标宋简体" w:hAnsi="方正小标宋简体" w:eastAsia="方正小标宋简体" w:cs="方正小标宋简体"/>
          <w:b w:val="0"/>
          <w:sz w:val="48"/>
          <w:szCs w:val="48"/>
        </w:rPr>
        <w:t xml:space="preserve">部分  </w:t>
      </w:r>
      <w:r>
        <w:rPr>
          <w:rFonts w:hint="default" w:ascii="方正小标宋简体" w:hAnsi="方正小标宋简体" w:eastAsia="方正小标宋简体" w:cs="方正小标宋简体"/>
          <w:b w:val="0"/>
          <w:spacing w:val="-20"/>
          <w:sz w:val="48"/>
          <w:szCs w:val="48"/>
          <w:lang w:val="en"/>
        </w:rPr>
        <w:t>2026</w:t>
      </w:r>
      <w:r>
        <w:rPr>
          <w:rFonts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年部门</w:t>
      </w:r>
      <w:r>
        <w:rPr>
          <w:rFonts w:hint="eastAsia"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预算情况</w:t>
      </w:r>
      <w:r>
        <w:rPr>
          <w:rFonts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说明</w:t>
      </w:r>
      <w:bookmarkEnd w:id="3"/>
    </w:p>
    <w:p>
      <w:pPr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4" w:name="_Toc78784571"/>
      <w:r>
        <w:rPr>
          <w:rFonts w:hint="eastAsia" w:ascii="仿宋_GB2312" w:hAnsi="Times New Roman" w:eastAsia="仿宋_GB2312"/>
          <w:b/>
          <w:sz w:val="30"/>
          <w:szCs w:val="30"/>
        </w:rPr>
        <w:t>一、</w:t>
      </w:r>
      <w:bookmarkEnd w:id="4"/>
      <w:r>
        <w:rPr>
          <w:rFonts w:hint="eastAsia" w:ascii="仿宋_GB2312" w:hAnsi="Times New Roman" w:eastAsia="仿宋_GB2312"/>
          <w:b/>
          <w:sz w:val="30"/>
          <w:szCs w:val="30"/>
        </w:rPr>
        <w:t>关于收支总表的说明</w:t>
      </w:r>
    </w:p>
    <w:p>
      <w:pPr>
        <w:spacing w:line="600" w:lineRule="exact"/>
        <w:ind w:firstLine="600" w:firstLineChars="200"/>
        <w:jc w:val="both"/>
        <w:rPr>
          <w:rFonts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按照综合预算的原则，本部门所有收入和支出均纳入部门预算管理。收入包括：一般公共预算拨款收入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568.46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政府性基金预算拨款收入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国有资本经营预算拨款收入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、财政专户管理资金收入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、事业收入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事业单位经营收入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上级补助收入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附属单位上缴收入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、其他收入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</w:t>
      </w:r>
      <w:r>
        <w:rPr>
          <w:rFonts w:ascii="仿宋_GB2312" w:hAnsi="Times New Roman" w:eastAsia="仿宋_GB2312"/>
          <w:sz w:val="30"/>
          <w:szCs w:val="30"/>
        </w:rPr>
        <w:t>上年结转结余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1.22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；支出包括：一般公共服务支出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569.46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、、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资源勘探工业信息等</w:t>
      </w:r>
      <w:r>
        <w:rPr>
          <w:rFonts w:hint="eastAsia" w:ascii="仿宋_GB2312" w:hAnsi="Times New Roman" w:eastAsia="仿宋_GB2312"/>
          <w:sz w:val="30"/>
          <w:szCs w:val="30"/>
        </w:rPr>
        <w:t>支出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1.22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。本部门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sz w:val="30"/>
          <w:szCs w:val="30"/>
        </w:rPr>
        <w:t>年收支总预算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570.68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5" w:name="_Toc78784572"/>
      <w:r>
        <w:rPr>
          <w:rFonts w:hint="eastAsia" w:ascii="仿宋_GB2312" w:hAnsi="Times New Roman" w:eastAsia="仿宋_GB2312"/>
          <w:b/>
          <w:sz w:val="30"/>
          <w:szCs w:val="30"/>
        </w:rPr>
        <w:t>二、</w:t>
      </w:r>
      <w:bookmarkEnd w:id="5"/>
      <w:r>
        <w:rPr>
          <w:rFonts w:hint="eastAsia" w:ascii="仿宋_GB2312" w:hAnsi="Times New Roman" w:eastAsia="仿宋_GB2312"/>
          <w:b/>
          <w:sz w:val="30"/>
          <w:szCs w:val="30"/>
        </w:rPr>
        <w:t>关于收入总表的说明</w:t>
      </w:r>
    </w:p>
    <w:p>
      <w:pPr>
        <w:spacing w:line="600" w:lineRule="exact"/>
        <w:ind w:firstLine="600" w:firstLineChars="200"/>
        <w:jc w:val="both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本部门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</w:t>
      </w:r>
      <w:r>
        <w:rPr>
          <w:rFonts w:hint="eastAsia" w:ascii="仿宋_GB2312" w:hAnsi="Times New Roman" w:eastAsia="仿宋_GB2312"/>
          <w:sz w:val="30"/>
          <w:szCs w:val="30"/>
        </w:rPr>
        <w:t>部门预算</w:t>
      </w:r>
      <w:r>
        <w:rPr>
          <w:rFonts w:ascii="仿宋_GB2312" w:hAnsi="Times New Roman" w:eastAsia="仿宋_GB2312"/>
          <w:sz w:val="30"/>
          <w:szCs w:val="30"/>
        </w:rPr>
        <w:t>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570.68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万元，与</w:t>
      </w:r>
      <w:r>
        <w:rPr>
          <w:rFonts w:hint="eastAsia" w:ascii="仿宋_GB2312" w:hAnsi="Times New Roman" w:eastAsia="仿宋_GB2312"/>
          <w:sz w:val="30"/>
          <w:szCs w:val="30"/>
        </w:rPr>
        <w:t>202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5</w:t>
      </w:r>
      <w:r>
        <w:rPr>
          <w:rFonts w:ascii="仿宋_GB2312" w:hAnsi="Times New Roman" w:eastAsia="仿宋_GB2312"/>
          <w:sz w:val="30"/>
          <w:szCs w:val="30"/>
        </w:rPr>
        <w:t>年</w:t>
      </w:r>
      <w:r>
        <w:rPr>
          <w:rFonts w:hint="eastAsia" w:ascii="仿宋_GB2312" w:hAnsi="Times New Roman" w:eastAsia="仿宋_GB2312"/>
          <w:sz w:val="30"/>
          <w:szCs w:val="30"/>
        </w:rPr>
        <w:t>预</w:t>
      </w:r>
      <w:r>
        <w:rPr>
          <w:rFonts w:ascii="仿宋_GB2312" w:hAnsi="Times New Roman" w:eastAsia="仿宋_GB2312"/>
          <w:sz w:val="30"/>
          <w:szCs w:val="30"/>
        </w:rPr>
        <w:t>算相比减少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5055.45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</w:t>
      </w:r>
      <w:r>
        <w:rPr>
          <w:rFonts w:hint="eastAsia" w:ascii="仿宋_GB2312" w:hAnsi="Times New Roman" w:eastAsia="仿宋_GB2312"/>
          <w:sz w:val="30"/>
          <w:szCs w:val="30"/>
        </w:rPr>
        <w:t>主要原因是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我部门设立的5000万元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知识产权融资风险补偿金于2025年到期，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已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按规定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全部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上缴至新区财政国库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  <w:r>
        <w:rPr>
          <w:rFonts w:ascii="仿宋_GB2312" w:hAnsi="Times New Roman" w:eastAsia="仿宋_GB2312"/>
          <w:sz w:val="30"/>
          <w:szCs w:val="30"/>
        </w:rPr>
        <w:t>其中：</w:t>
      </w:r>
      <w:r>
        <w:rPr>
          <w:rFonts w:hint="eastAsia" w:ascii="仿宋_GB2312" w:hAnsi="Times New Roman" w:eastAsia="仿宋_GB2312"/>
          <w:sz w:val="30"/>
          <w:szCs w:val="30"/>
        </w:rPr>
        <w:t>上年结转结余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1.22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0.21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%；一般公共预算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568.46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99.61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%；政府性基金预算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%；国有资本经营预算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</w:t>
      </w:r>
      <w:r>
        <w:rPr>
          <w:rFonts w:hint="eastAsia" w:ascii="仿宋_GB2312" w:hAnsi="Times New Roman" w:eastAsia="仿宋_GB2312"/>
          <w:sz w:val="30"/>
          <w:szCs w:val="30"/>
        </w:rPr>
        <w:t>财政专户管理资金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%；事业收入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</w:t>
      </w:r>
      <w:r>
        <w:rPr>
          <w:rFonts w:hint="eastAsia" w:ascii="仿宋_GB2312" w:hAnsi="Times New Roman" w:eastAsia="仿宋_GB2312"/>
          <w:sz w:val="30"/>
          <w:szCs w:val="30"/>
        </w:rPr>
        <w:t>事业单位</w:t>
      </w:r>
      <w:r>
        <w:rPr>
          <w:rFonts w:ascii="仿宋_GB2312" w:hAnsi="Times New Roman" w:eastAsia="仿宋_GB2312"/>
          <w:sz w:val="30"/>
          <w:szCs w:val="30"/>
        </w:rPr>
        <w:t>经营收入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%；上级补助收入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%；附属单位上缴收入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  </w:t>
      </w:r>
      <w:r>
        <w:rPr>
          <w:rFonts w:ascii="仿宋_GB2312" w:hAnsi="Times New Roman" w:eastAsia="仿宋_GB2312"/>
          <w:sz w:val="30"/>
          <w:szCs w:val="30"/>
        </w:rPr>
        <w:t>%；其他收入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0.18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6" w:name="_Toc78784573"/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</w:t>
      </w:r>
      <w:bookmarkEnd w:id="6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关于支出总表的说明</w:t>
      </w:r>
    </w:p>
    <w:p>
      <w:pPr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年支出预算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570.68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年预算相比减少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5055.45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我部门设立的5000万元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知识产权融资风险补偿金于2025年到期，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已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按规定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全部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上缴至新区财政国库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。其中：基本支出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466.46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81.74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%；项目支出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104.22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18.26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%；事业单位经营支出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%；上缴上级支出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%；对附属单位补助支出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%。 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7" w:name="_Toc78784574"/>
      <w:r>
        <w:rPr>
          <w:rFonts w:hint="eastAsia" w:ascii="仿宋_GB2312" w:hAnsi="仿宋_GB2312" w:eastAsia="仿宋_GB2312" w:cs="仿宋_GB2312"/>
          <w:b/>
          <w:sz w:val="30"/>
          <w:szCs w:val="30"/>
        </w:rPr>
        <w:t>四、</w:t>
      </w:r>
      <w:bookmarkEnd w:id="7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关于财政拨款收支总表的说明</w:t>
      </w:r>
    </w:p>
    <w:p>
      <w:pPr>
        <w:spacing w:line="600" w:lineRule="exact"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年财政拨款收入预算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569.68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年预算相比减少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56.45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一般公共预算收入减少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。收入包括：一般公共预算拨款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568.46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万元、政府性基金预算拨款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万元、国有资本经营预算拨款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万元、上年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结转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年财政拨款支出预算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569.68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年预算相比减少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56.45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一般公共预算支出减少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。支出包括：一般公共服务支出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568.46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资源勘探工业信息等</w:t>
      </w:r>
      <w:r>
        <w:rPr>
          <w:rFonts w:hint="eastAsia" w:ascii="仿宋_GB2312" w:hAnsi="Times New Roman" w:eastAsia="仿宋_GB2312"/>
          <w:sz w:val="30"/>
          <w:szCs w:val="30"/>
        </w:rPr>
        <w:t>支出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1.22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8" w:name="_Toc78784575"/>
      <w:r>
        <w:rPr>
          <w:rFonts w:hint="eastAsia" w:ascii="仿宋_GB2312" w:hAnsi="仿宋_GB2312" w:eastAsia="仿宋_GB2312" w:cs="仿宋_GB2312"/>
          <w:b/>
          <w:sz w:val="30"/>
          <w:szCs w:val="30"/>
        </w:rPr>
        <w:t>五、</w:t>
      </w:r>
      <w:bookmarkEnd w:id="8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关于一般公共预算支出表的说明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（一）总体情况</w:t>
      </w:r>
    </w:p>
    <w:p>
      <w:pPr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公共预算</w:t>
      </w:r>
      <w:r>
        <w:rPr>
          <w:rFonts w:hint="eastAsia" w:ascii="仿宋_GB2312" w:hAnsi="仿宋_GB2312" w:eastAsia="仿宋_GB2312" w:cs="仿宋_GB2312"/>
          <w:sz w:val="30"/>
          <w:szCs w:val="30"/>
        </w:rPr>
        <w:t>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569.68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年预算相比减少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56.45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其他知识产权事务支出减少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（二）具体情况</w:t>
      </w:r>
    </w:p>
    <w:p>
      <w:pPr>
        <w:numPr>
          <w:ilvl w:val="0"/>
          <w:numId w:val="0"/>
        </w:numPr>
        <w:wordWrap w:val="0"/>
        <w:spacing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一般公共服务支出</w:t>
      </w:r>
      <w:r>
        <w:rPr>
          <w:rFonts w:hint="eastAsia"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568.46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年预算相比减少</w:t>
      </w:r>
      <w:bookmarkStart w:id="14" w:name="_GoBack"/>
      <w:bookmarkEnd w:id="14"/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57.67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其他知识产权事务支出减少 </w:t>
      </w:r>
      <w:r>
        <w:rPr>
          <w:rFonts w:hint="eastAsia" w:ascii="仿宋_GB2312" w:hAnsi="仿宋_GB2312" w:eastAsia="仿宋_GB2312" w:cs="仿宋_GB2312"/>
          <w:sz w:val="30"/>
          <w:szCs w:val="30"/>
        </w:rPr>
        <w:t>，其中：</w:t>
      </w:r>
    </w:p>
    <w:p>
      <w:pPr>
        <w:spacing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知识产权事务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568.46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万元，包括：“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行政运行</w:t>
      </w:r>
      <w:r>
        <w:rPr>
          <w:rFonts w:hint="eastAsia"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466.46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局本级人员支出及公用经费支出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其他知识产权事务支出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主要用于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>知识产权运营促进保护发展工作经费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</w:p>
    <w:p>
      <w:pPr>
        <w:numPr>
          <w:ilvl w:val="0"/>
          <w:numId w:val="0"/>
        </w:numPr>
        <w:wordWrap w:val="0"/>
        <w:spacing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“资源勘探工业信息等支出”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2025年新购入国产设备政策补贴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，其中：</w:t>
      </w:r>
    </w:p>
    <w:p>
      <w:pPr>
        <w:spacing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“其他资源勘探工业信息等支出”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万元，包括：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“技术改造支出”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局本级设备国产化替代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9" w:name="_Toc78784576"/>
      <w:r>
        <w:rPr>
          <w:rFonts w:hint="eastAsia" w:ascii="仿宋_GB2312" w:hAnsi="仿宋_GB2312" w:eastAsia="仿宋_GB2312" w:cs="仿宋_GB2312"/>
          <w:b/>
          <w:sz w:val="30"/>
          <w:szCs w:val="30"/>
        </w:rPr>
        <w:t>六、</w:t>
      </w:r>
      <w:bookmarkEnd w:id="9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关于一般公共预算基本支出表的说明</w:t>
      </w:r>
    </w:p>
    <w:p>
      <w:pPr>
        <w:spacing w:line="600" w:lineRule="exact"/>
        <w:ind w:firstLine="594" w:firstLineChars="19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本部门一般公共预算基本支出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466.46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70.02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2025年因新增人员导致人员、公用经费支出增加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。其中：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人员经费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422.52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万元，主要包括：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工资福利支出等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公用经费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43.94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万元，主要包括：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办公费、印刷费、手续费、邮电费、差旅费、维修（护）费、办公设备购置、公务接待费、委托业务费、工会经费、其他交通费用、其他商品和服务支出等。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0" w:name="_Toc78784577"/>
      <w:r>
        <w:rPr>
          <w:rFonts w:hint="eastAsia" w:ascii="仿宋_GB2312" w:hAnsi="仿宋_GB2312" w:eastAsia="仿宋_GB2312" w:cs="仿宋_GB2312"/>
          <w:b/>
          <w:sz w:val="30"/>
          <w:szCs w:val="30"/>
        </w:rPr>
        <w:t>七、关于一般公共预算“三公”经费支出表的说明</w:t>
      </w:r>
    </w:p>
    <w:p>
      <w:pPr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年一般公共预算“三公”经费安排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严格执行中央八项规定精神和厉行节约要求，严控“三公”经费规模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。具体情况：</w:t>
      </w:r>
    </w:p>
    <w:p>
      <w:pPr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年因公出国（境）费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" w:eastAsia="zh-CN"/>
        </w:rPr>
        <w:t>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本部门一般公共预算未安排此项经费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年公务用车购置及运行费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万元，其中公务用车运行费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本部门一般公共预算未安排此项经费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；公务用车购置费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本部门一般公共预算未安排此项经费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45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年公务接待费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严格执行中央八项规定精神和厉行节约要求，严控“三公”经费规模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八、</w:t>
      </w:r>
      <w:bookmarkEnd w:id="10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关于政府性基金预算支出表的说明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年本部门预算中没有使用政府性基金预算安排的支出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1" w:name="_Toc78784578"/>
      <w:r>
        <w:rPr>
          <w:rFonts w:hint="eastAsia" w:ascii="仿宋_GB2312" w:hAnsi="仿宋_GB2312" w:eastAsia="仿宋_GB2312" w:cs="仿宋_GB2312"/>
          <w:b/>
          <w:sz w:val="30"/>
          <w:szCs w:val="30"/>
        </w:rPr>
        <w:t>九、</w:t>
      </w:r>
      <w:bookmarkEnd w:id="11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关于国有资本经营预算支出表的说明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年本部门预算中没有使用国有资本经营预算安排的支出。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2" w:name="_Toc78784579"/>
      <w:r>
        <w:rPr>
          <w:rFonts w:hint="eastAsia" w:ascii="仿宋_GB2312" w:hAnsi="仿宋_GB2312" w:eastAsia="仿宋_GB2312" w:cs="仿宋_GB2312"/>
          <w:b/>
          <w:sz w:val="30"/>
          <w:szCs w:val="30"/>
        </w:rPr>
        <w:t>十、其他重要事项的情况说明</w:t>
      </w:r>
    </w:p>
    <w:p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一）机关运行经费</w:t>
      </w:r>
      <w:bookmarkEnd w:id="12"/>
    </w:p>
    <w:p>
      <w:pPr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天津市滨海新区知识产权局1</w:t>
      </w:r>
      <w:r>
        <w:rPr>
          <w:rFonts w:hint="eastAsia" w:ascii="仿宋_GB2312" w:hAnsi="仿宋_GB2312" w:eastAsia="仿宋_GB2312" w:cs="仿宋_GB2312"/>
          <w:sz w:val="30"/>
          <w:szCs w:val="30"/>
        </w:rPr>
        <w:t>家行政单位的机关运行经费预算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43.94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万元，包括办公费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5.99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邮电费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印刷费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手续费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>0.01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差旅费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维修（护）费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公务接待费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委托业务费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工会经费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5.03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劳务费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其他交通费用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15.51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其他商品和服务支出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办公设备购置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（二）政府采购情况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年安排政府采购预算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3.29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其中：政府采购货物支出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3.29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万元、政府采购工程支出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万元、政府采购服务支出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万元。主要项目是：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2026年预算公用经费项目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3.29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（三）国有资产占用情况</w:t>
      </w:r>
    </w:p>
    <w:p>
      <w:pPr>
        <w:spacing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4080"/>
          <w:sz w:val="27"/>
          <w:szCs w:val="27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截至</w:t>
      </w:r>
      <w:r>
        <w:rPr>
          <w:rFonts w:hint="default" w:ascii="仿宋_GB2312" w:hAnsi="仿宋_GB2312" w:eastAsia="仿宋_GB2312" w:cs="仿宋_GB2312"/>
          <w:color w:val="000000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年7月底，本部门各单位共有车辆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辆，其中：副部（省）级及以上领导用车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辆、主要负责人干部用车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辆、机要通信用车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辆、应急保障用车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辆、执法执勤用车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辆、特种专业技术用车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辆、离退休干部服务用车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辆、其他用车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辆，其他用车主要包括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。单价（账面原值）100万以上的设备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台（套）。</w:t>
      </w:r>
      <w:r>
        <w:rPr>
          <w:rFonts w:hint="eastAsia" w:ascii="仿宋_GB2312" w:hAnsi="仿宋_GB2312" w:eastAsia="仿宋_GB2312" w:cs="仿宋_GB2312"/>
          <w:color w:val="004080"/>
          <w:sz w:val="27"/>
          <w:szCs w:val="27"/>
          <w:lang w:val="zh-CN"/>
        </w:rPr>
        <w:t xml:space="preserve"> </w:t>
      </w:r>
    </w:p>
    <w:p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（四）预算绩效情况说明</w:t>
      </w:r>
    </w:p>
    <w:p>
      <w:pPr>
        <w:spacing w:line="580" w:lineRule="exact"/>
        <w:ind w:left="151" w:leftChars="63" w:firstLine="450" w:firstLineChars="15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000000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年实行绩效目标管理的项目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个，涉及预算金额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</w:t>
      </w: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104.22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元。</w:t>
      </w:r>
    </w:p>
    <w:p>
      <w:pP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13" w:name="_Toc78784585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br w:type="page"/>
      </w:r>
    </w:p>
    <w:p>
      <w:pPr>
        <w:pStyle w:val="2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第三部分  名词解释</w:t>
      </w:r>
      <w:bookmarkEnd w:id="13"/>
    </w:p>
    <w:p>
      <w:pPr>
        <w:spacing w:line="58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1.部门预算。</w:t>
      </w:r>
      <w:r>
        <w:rPr>
          <w:rFonts w:hint="eastAsia" w:ascii="仿宋_GB2312" w:hAnsi="仿宋_GB2312" w:eastAsia="仿宋_GB2312" w:cs="仿宋_GB2312"/>
          <w:sz w:val="30"/>
          <w:szCs w:val="30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>
      <w:pPr>
        <w:spacing w:line="58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2.机关运行经费。</w:t>
      </w:r>
      <w:r>
        <w:rPr>
          <w:rFonts w:hint="eastAsia" w:ascii="仿宋_GB2312" w:hAnsi="仿宋_GB2312" w:eastAsia="仿宋_GB2312" w:cs="仿宋_GB2312"/>
          <w:sz w:val="30"/>
          <w:szCs w:val="30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br w:type="page"/>
      </w:r>
    </w:p>
    <w:p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 xml:space="preserve">第四部分  </w:t>
      </w:r>
      <w:r>
        <w:rPr>
          <w:rFonts w:hint="default" w:ascii="方正小标宋简体" w:hAnsi="方正小标宋简体" w:eastAsia="方正小标宋简体" w:cs="方正小标宋简体"/>
          <w:b w:val="0"/>
          <w:sz w:val="48"/>
          <w:szCs w:val="48"/>
          <w:lang w:val="e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年部门预算表</w:t>
      </w:r>
    </w:p>
    <w:p>
      <w:pPr>
        <w:spacing w:line="600" w:lineRule="exact"/>
        <w:ind w:firstLine="594" w:firstLineChars="19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年收支总表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年收入总表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年支出总表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年财政拨款收支总表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年一般公共预算支出表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年一般公共预算基本支出表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年一般公共预算“三公”经费支出表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年政府性基金预算支出表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九、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年国有资本经营预算支出表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年项目支出表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十一、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年政府采购预算表</w:t>
      </w:r>
    </w:p>
    <w:p>
      <w:pPr>
        <w:spacing w:line="560" w:lineRule="exact"/>
        <w:ind w:left="480" w:leftChars="200" w:firstLine="147" w:firstLineChars="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十二、关于空表的说明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1.本部门202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年政府性基金预算支出情况表为空表。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2.本部门202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年国有资本经营预算支出情况表为空表。</w:t>
      </w:r>
    </w:p>
    <w:p>
      <w:pPr>
        <w:spacing w:line="580" w:lineRule="exact"/>
        <w:ind w:firstLine="600" w:firstLineChars="200"/>
        <w:rPr>
          <w:rFonts w:eastAsia="楷体_GB2312"/>
          <w:color w:val="FF0000"/>
          <w:sz w:val="30"/>
          <w:szCs w:val="30"/>
        </w:rPr>
      </w:pPr>
    </w:p>
    <w:sectPr>
      <w:footerReference r:id="rId6" w:type="default"/>
      <w:pgSz w:w="11907" w:h="16840"/>
      <w:pgMar w:top="2098" w:right="1474" w:bottom="1304" w:left="1588" w:header="765" w:footer="765" w:gutter="0"/>
      <w:pgNumType w:fmt="numberInDash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erif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77"/>
    <w:rsid w:val="0001204D"/>
    <w:rsid w:val="00012D48"/>
    <w:rsid w:val="00014B7E"/>
    <w:rsid w:val="00020DAE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38DE"/>
    <w:rsid w:val="00066DA5"/>
    <w:rsid w:val="00081133"/>
    <w:rsid w:val="00082771"/>
    <w:rsid w:val="00093F1A"/>
    <w:rsid w:val="00097C4D"/>
    <w:rsid w:val="000A4C45"/>
    <w:rsid w:val="000A6A5A"/>
    <w:rsid w:val="000A750A"/>
    <w:rsid w:val="000B1B04"/>
    <w:rsid w:val="000B5758"/>
    <w:rsid w:val="000C1D30"/>
    <w:rsid w:val="000C211F"/>
    <w:rsid w:val="000C3FFB"/>
    <w:rsid w:val="000C5349"/>
    <w:rsid w:val="000C704F"/>
    <w:rsid w:val="000D1BEF"/>
    <w:rsid w:val="000E221E"/>
    <w:rsid w:val="000E5A14"/>
    <w:rsid w:val="000F2DDD"/>
    <w:rsid w:val="00101B9A"/>
    <w:rsid w:val="00103D12"/>
    <w:rsid w:val="001044EF"/>
    <w:rsid w:val="00107793"/>
    <w:rsid w:val="00107F74"/>
    <w:rsid w:val="00141FB3"/>
    <w:rsid w:val="00143640"/>
    <w:rsid w:val="00146622"/>
    <w:rsid w:val="00151DB8"/>
    <w:rsid w:val="00151E56"/>
    <w:rsid w:val="00154D50"/>
    <w:rsid w:val="001574DB"/>
    <w:rsid w:val="00160516"/>
    <w:rsid w:val="001616F8"/>
    <w:rsid w:val="001639E6"/>
    <w:rsid w:val="0016548E"/>
    <w:rsid w:val="00167781"/>
    <w:rsid w:val="00173D03"/>
    <w:rsid w:val="0017420B"/>
    <w:rsid w:val="001743A6"/>
    <w:rsid w:val="0019552B"/>
    <w:rsid w:val="001A1316"/>
    <w:rsid w:val="001A58F7"/>
    <w:rsid w:val="001B26CD"/>
    <w:rsid w:val="001B47FB"/>
    <w:rsid w:val="001C525C"/>
    <w:rsid w:val="001E4814"/>
    <w:rsid w:val="001F43D8"/>
    <w:rsid w:val="001F69BB"/>
    <w:rsid w:val="0020344E"/>
    <w:rsid w:val="00217977"/>
    <w:rsid w:val="00222775"/>
    <w:rsid w:val="00223D56"/>
    <w:rsid w:val="00225E9E"/>
    <w:rsid w:val="002319C9"/>
    <w:rsid w:val="00235DDA"/>
    <w:rsid w:val="00243A70"/>
    <w:rsid w:val="002456BF"/>
    <w:rsid w:val="00247B07"/>
    <w:rsid w:val="00252DD7"/>
    <w:rsid w:val="002568D5"/>
    <w:rsid w:val="0026664B"/>
    <w:rsid w:val="00275986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2F6622"/>
    <w:rsid w:val="00304097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64294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78F1"/>
    <w:rsid w:val="00421C5C"/>
    <w:rsid w:val="00424A5A"/>
    <w:rsid w:val="00452C1F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A77B0"/>
    <w:rsid w:val="004B0888"/>
    <w:rsid w:val="004C0EED"/>
    <w:rsid w:val="004C1F92"/>
    <w:rsid w:val="004C3B81"/>
    <w:rsid w:val="004D2A21"/>
    <w:rsid w:val="004E5901"/>
    <w:rsid w:val="004E7F96"/>
    <w:rsid w:val="004F1D8F"/>
    <w:rsid w:val="004F304B"/>
    <w:rsid w:val="00500E62"/>
    <w:rsid w:val="00507FC2"/>
    <w:rsid w:val="0051134F"/>
    <w:rsid w:val="00513E0C"/>
    <w:rsid w:val="00531F24"/>
    <w:rsid w:val="00534FC8"/>
    <w:rsid w:val="005442FD"/>
    <w:rsid w:val="00547CCA"/>
    <w:rsid w:val="0055334A"/>
    <w:rsid w:val="0056218D"/>
    <w:rsid w:val="00563DE0"/>
    <w:rsid w:val="00566B36"/>
    <w:rsid w:val="005717FD"/>
    <w:rsid w:val="00577762"/>
    <w:rsid w:val="00580FFE"/>
    <w:rsid w:val="00585D27"/>
    <w:rsid w:val="0058731A"/>
    <w:rsid w:val="00587691"/>
    <w:rsid w:val="0059010F"/>
    <w:rsid w:val="0059248B"/>
    <w:rsid w:val="00595115"/>
    <w:rsid w:val="005B0F7B"/>
    <w:rsid w:val="005B3956"/>
    <w:rsid w:val="005B5E4D"/>
    <w:rsid w:val="005C0A1F"/>
    <w:rsid w:val="005C3C59"/>
    <w:rsid w:val="005D0C85"/>
    <w:rsid w:val="005D5F3F"/>
    <w:rsid w:val="005E595A"/>
    <w:rsid w:val="005E5D2D"/>
    <w:rsid w:val="005E642E"/>
    <w:rsid w:val="005F3D28"/>
    <w:rsid w:val="005F52AE"/>
    <w:rsid w:val="005F6E16"/>
    <w:rsid w:val="00602A30"/>
    <w:rsid w:val="006054BF"/>
    <w:rsid w:val="00617301"/>
    <w:rsid w:val="00646289"/>
    <w:rsid w:val="00646C58"/>
    <w:rsid w:val="0065320E"/>
    <w:rsid w:val="00664752"/>
    <w:rsid w:val="00673ABE"/>
    <w:rsid w:val="006777CE"/>
    <w:rsid w:val="006934E1"/>
    <w:rsid w:val="00694200"/>
    <w:rsid w:val="0069616E"/>
    <w:rsid w:val="006A0604"/>
    <w:rsid w:val="006A317F"/>
    <w:rsid w:val="006A57EE"/>
    <w:rsid w:val="006A7042"/>
    <w:rsid w:val="006A7123"/>
    <w:rsid w:val="006B0F4B"/>
    <w:rsid w:val="006D456D"/>
    <w:rsid w:val="006D7313"/>
    <w:rsid w:val="006E5C14"/>
    <w:rsid w:val="006F408B"/>
    <w:rsid w:val="00703777"/>
    <w:rsid w:val="00716804"/>
    <w:rsid w:val="00737A20"/>
    <w:rsid w:val="0074381E"/>
    <w:rsid w:val="00754417"/>
    <w:rsid w:val="0078521D"/>
    <w:rsid w:val="00795DC2"/>
    <w:rsid w:val="007A5596"/>
    <w:rsid w:val="007B750A"/>
    <w:rsid w:val="007C0CD1"/>
    <w:rsid w:val="007C220B"/>
    <w:rsid w:val="007C257B"/>
    <w:rsid w:val="007C27C2"/>
    <w:rsid w:val="007C4FF4"/>
    <w:rsid w:val="007C5704"/>
    <w:rsid w:val="007E011D"/>
    <w:rsid w:val="007E0D5B"/>
    <w:rsid w:val="007E2276"/>
    <w:rsid w:val="007F218B"/>
    <w:rsid w:val="00810D0C"/>
    <w:rsid w:val="00824025"/>
    <w:rsid w:val="008277F5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90F33"/>
    <w:rsid w:val="008A2192"/>
    <w:rsid w:val="008A584F"/>
    <w:rsid w:val="008B0BE1"/>
    <w:rsid w:val="008C6A37"/>
    <w:rsid w:val="008D0B65"/>
    <w:rsid w:val="008D7A7F"/>
    <w:rsid w:val="008E4B67"/>
    <w:rsid w:val="008F0A65"/>
    <w:rsid w:val="008F7F2F"/>
    <w:rsid w:val="0090543A"/>
    <w:rsid w:val="00912DED"/>
    <w:rsid w:val="0091709C"/>
    <w:rsid w:val="009224E2"/>
    <w:rsid w:val="00922C71"/>
    <w:rsid w:val="00931ADF"/>
    <w:rsid w:val="009339F5"/>
    <w:rsid w:val="00933DD8"/>
    <w:rsid w:val="00934F3E"/>
    <w:rsid w:val="00937D77"/>
    <w:rsid w:val="00944267"/>
    <w:rsid w:val="00946BC0"/>
    <w:rsid w:val="00951511"/>
    <w:rsid w:val="0095553A"/>
    <w:rsid w:val="00962587"/>
    <w:rsid w:val="009822BE"/>
    <w:rsid w:val="00990C9A"/>
    <w:rsid w:val="009970B7"/>
    <w:rsid w:val="009A08A7"/>
    <w:rsid w:val="009A3307"/>
    <w:rsid w:val="009A41AC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E0550"/>
    <w:rsid w:val="009E6A2C"/>
    <w:rsid w:val="009F0927"/>
    <w:rsid w:val="00A01A53"/>
    <w:rsid w:val="00A020B8"/>
    <w:rsid w:val="00A02970"/>
    <w:rsid w:val="00A1342C"/>
    <w:rsid w:val="00A15BB3"/>
    <w:rsid w:val="00A169EE"/>
    <w:rsid w:val="00A25266"/>
    <w:rsid w:val="00A325D0"/>
    <w:rsid w:val="00A37FB3"/>
    <w:rsid w:val="00A410A3"/>
    <w:rsid w:val="00A43941"/>
    <w:rsid w:val="00A47777"/>
    <w:rsid w:val="00A50357"/>
    <w:rsid w:val="00A52A4D"/>
    <w:rsid w:val="00A54C43"/>
    <w:rsid w:val="00A54C55"/>
    <w:rsid w:val="00A62D36"/>
    <w:rsid w:val="00A64852"/>
    <w:rsid w:val="00A74096"/>
    <w:rsid w:val="00A8081F"/>
    <w:rsid w:val="00A81B34"/>
    <w:rsid w:val="00A82A7D"/>
    <w:rsid w:val="00A8708A"/>
    <w:rsid w:val="00A918A4"/>
    <w:rsid w:val="00A91C28"/>
    <w:rsid w:val="00A96D04"/>
    <w:rsid w:val="00AB093E"/>
    <w:rsid w:val="00AB385B"/>
    <w:rsid w:val="00AB791A"/>
    <w:rsid w:val="00AC0500"/>
    <w:rsid w:val="00AC3444"/>
    <w:rsid w:val="00AC4DF4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370F4"/>
    <w:rsid w:val="00B4348E"/>
    <w:rsid w:val="00B45D35"/>
    <w:rsid w:val="00B47C04"/>
    <w:rsid w:val="00B53EC1"/>
    <w:rsid w:val="00B5771C"/>
    <w:rsid w:val="00B66FA2"/>
    <w:rsid w:val="00B73DE5"/>
    <w:rsid w:val="00B757C2"/>
    <w:rsid w:val="00B90553"/>
    <w:rsid w:val="00B91BBF"/>
    <w:rsid w:val="00B93818"/>
    <w:rsid w:val="00BA2588"/>
    <w:rsid w:val="00BA3C6F"/>
    <w:rsid w:val="00BA407A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1455B"/>
    <w:rsid w:val="00C148BB"/>
    <w:rsid w:val="00C149C4"/>
    <w:rsid w:val="00C17C17"/>
    <w:rsid w:val="00C24562"/>
    <w:rsid w:val="00C37827"/>
    <w:rsid w:val="00C378B1"/>
    <w:rsid w:val="00C435D4"/>
    <w:rsid w:val="00C50520"/>
    <w:rsid w:val="00C63085"/>
    <w:rsid w:val="00C64EC0"/>
    <w:rsid w:val="00C70269"/>
    <w:rsid w:val="00C73CFA"/>
    <w:rsid w:val="00C77359"/>
    <w:rsid w:val="00C8411D"/>
    <w:rsid w:val="00C84F06"/>
    <w:rsid w:val="00C96C5A"/>
    <w:rsid w:val="00CA1B19"/>
    <w:rsid w:val="00CA1BC8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CF57E8"/>
    <w:rsid w:val="00D055B0"/>
    <w:rsid w:val="00D07F2D"/>
    <w:rsid w:val="00D13688"/>
    <w:rsid w:val="00D14C1F"/>
    <w:rsid w:val="00D15FA8"/>
    <w:rsid w:val="00D23D4D"/>
    <w:rsid w:val="00D27938"/>
    <w:rsid w:val="00D27B83"/>
    <w:rsid w:val="00D51CC5"/>
    <w:rsid w:val="00D55851"/>
    <w:rsid w:val="00D574FF"/>
    <w:rsid w:val="00D608C7"/>
    <w:rsid w:val="00D8056F"/>
    <w:rsid w:val="00D877BB"/>
    <w:rsid w:val="00D91D08"/>
    <w:rsid w:val="00D92B61"/>
    <w:rsid w:val="00DB28E7"/>
    <w:rsid w:val="00DB3194"/>
    <w:rsid w:val="00DC08C9"/>
    <w:rsid w:val="00DD6E45"/>
    <w:rsid w:val="00DE477D"/>
    <w:rsid w:val="00DE5D74"/>
    <w:rsid w:val="00DE7CDF"/>
    <w:rsid w:val="00DF0B81"/>
    <w:rsid w:val="00DF0F72"/>
    <w:rsid w:val="00DF2103"/>
    <w:rsid w:val="00DF4EF1"/>
    <w:rsid w:val="00DF6570"/>
    <w:rsid w:val="00E01833"/>
    <w:rsid w:val="00E27103"/>
    <w:rsid w:val="00E37F65"/>
    <w:rsid w:val="00E407D2"/>
    <w:rsid w:val="00E51564"/>
    <w:rsid w:val="00E62551"/>
    <w:rsid w:val="00E6262F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B06BE"/>
    <w:rsid w:val="00EB6AAF"/>
    <w:rsid w:val="00EE59CA"/>
    <w:rsid w:val="00F11449"/>
    <w:rsid w:val="00F211C0"/>
    <w:rsid w:val="00F224AE"/>
    <w:rsid w:val="00F5220F"/>
    <w:rsid w:val="00F54E60"/>
    <w:rsid w:val="00F5688C"/>
    <w:rsid w:val="00F619E7"/>
    <w:rsid w:val="00F67141"/>
    <w:rsid w:val="00F720C0"/>
    <w:rsid w:val="00F729CE"/>
    <w:rsid w:val="00F81314"/>
    <w:rsid w:val="00F86B2D"/>
    <w:rsid w:val="00F86C27"/>
    <w:rsid w:val="00F86DF0"/>
    <w:rsid w:val="00F943D8"/>
    <w:rsid w:val="00FB4035"/>
    <w:rsid w:val="00FC57FA"/>
    <w:rsid w:val="00FE3D89"/>
    <w:rsid w:val="00FE7BA7"/>
    <w:rsid w:val="00FF1C3D"/>
    <w:rsid w:val="03533B51"/>
    <w:rsid w:val="0B323694"/>
    <w:rsid w:val="0D490566"/>
    <w:rsid w:val="12A17314"/>
    <w:rsid w:val="1CF571F7"/>
    <w:rsid w:val="1D681DEC"/>
    <w:rsid w:val="268758BC"/>
    <w:rsid w:val="3557428F"/>
    <w:rsid w:val="38081736"/>
    <w:rsid w:val="3B630CF3"/>
    <w:rsid w:val="3D407E3C"/>
    <w:rsid w:val="3DCF0A74"/>
    <w:rsid w:val="3FCB28EB"/>
    <w:rsid w:val="40956B0D"/>
    <w:rsid w:val="4A926D8A"/>
    <w:rsid w:val="4E1E02D7"/>
    <w:rsid w:val="4F204931"/>
    <w:rsid w:val="4FA82D85"/>
    <w:rsid w:val="693A5856"/>
    <w:rsid w:val="6A2D5246"/>
    <w:rsid w:val="73A82400"/>
    <w:rsid w:val="748F20DD"/>
    <w:rsid w:val="77693595"/>
    <w:rsid w:val="77EFDD89"/>
    <w:rsid w:val="7B78056B"/>
    <w:rsid w:val="7ECE503D"/>
    <w:rsid w:val="7FBFB80A"/>
    <w:rsid w:val="9DDCB04D"/>
    <w:rsid w:val="BDEB7FB1"/>
    <w:rsid w:val="BFBF6BBA"/>
    <w:rsid w:val="DEFFAB64"/>
    <w:rsid w:val="F51C3534"/>
    <w:rsid w:val="FDFE0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S Serif" w:hAnsi="MS Serif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MS Serif" w:hAnsi="MS Serif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alloon Text"/>
    <w:basedOn w:val="1"/>
    <w:link w:val="16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10">
    <w:name w:val="page number"/>
    <w:uiPriority w:val="0"/>
  </w:style>
  <w:style w:type="paragraph" w:customStyle="1" w:styleId="12">
    <w:name w:val="Char Char"/>
    <w:basedOn w:val="4"/>
    <w:uiPriority w:val="0"/>
    <w:pPr>
      <w:adjustRightInd/>
      <w:spacing w:line="240" w:lineRule="auto"/>
      <w:jc w:val="both"/>
      <w:textAlignment w:val="auto"/>
    </w:pPr>
  </w:style>
  <w:style w:type="paragraph" w:styleId="13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5">
    <w:name w:val="标题 2 Char"/>
    <w:link w:val="3"/>
    <w:uiPriority w:val="9"/>
    <w:rPr>
      <w:rFonts w:ascii="Cambria" w:hAnsi="Cambria"/>
      <w:b/>
      <w:bCs/>
      <w:sz w:val="32"/>
      <w:szCs w:val="32"/>
    </w:rPr>
  </w:style>
  <w:style w:type="character" w:customStyle="1" w:styleId="16">
    <w:name w:val="批注框文本 Char"/>
    <w:link w:val="5"/>
    <w:uiPriority w:val="0"/>
    <w:rPr>
      <w:sz w:val="18"/>
      <w:szCs w:val="18"/>
    </w:rPr>
  </w:style>
  <w:style w:type="character" w:customStyle="1" w:styleId="17">
    <w:name w:val="页脚 Char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2024-02-25T01:39:00Z</dcterms:created>
  <dc:creator>朱春礼</dc:creator>
  <cp:lastModifiedBy>张瑶</cp:lastModifiedBy>
  <cp:lastPrinted>2026-01-31T02:06:00Z</cp:lastPrinted>
  <dcterms:modified xsi:type="dcterms:W3CDTF">2026-02-10T03:36:03Z</dcterms:modified>
  <dc:title>附件1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