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天津市滨海新区知识产权局</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天津市滨海新区知识产权局编制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1.2026年滨海新区知识产权运营促进保护发展工作经费绩效目标表</w:t>
        </w:r>
        <w:r>
          <w:tab/>
        </w:r>
        <w:r>
          <w:fldChar w:fldCharType="begin"/>
        </w:r>
        <w:r>
          <w:instrText xml:space="preserve">PAGEREF _Toc_4_4_0000000004 \h</w:instrText>
        </w:r>
        <w:r>
          <w:fldChar w:fldCharType="separate"/>
        </w:r>
        <w:r>
          <w:t xml:space="preserve">4</w:t>
        </w:r>
        <w:r>
          <w:fldChar w:fldCharType="end"/>
        </w:r>
      </w:hyperlink>
    </w:p>
    <w:p>
      <w:pPr>
        <w:pStyle w:val="TOC1"/>
        <w:tabs>
          <w:tab w:val="right" w:leader="dot" w:pos="9282"/>
        </w:tabs>
      </w:pPr>
      <w:hyperlink w:anchor="_Toc_4_4_0000000005" w:history="1">
        <w:r>
          <w:rPr/>
          <w:t xml:space="preserve">2.2026年关于推动信创产业提升知识产权创造质量和运用效益的重点举措研究项目（自有资金）（其他收入资金）绩效目标表</w:t>
        </w:r>
        <w:r>
          <w:tab/>
        </w:r>
        <w:r>
          <w:fldChar w:fldCharType="begin"/>
        </w:r>
        <w:r>
          <w:instrText xml:space="preserve">PAGEREF _Toc_4_4_0000000005 \h</w:instrText>
        </w:r>
        <w:r>
          <w:fldChar w:fldCharType="separate"/>
        </w:r>
        <w:r>
          <w:t xml:space="preserve">6</w:t>
        </w:r>
        <w:r>
          <w:fldChar w:fldCharType="end"/>
        </w:r>
      </w:hyperlink>
    </w:p>
    <w:p>
      <w:pPr>
        <w:pStyle w:val="TOC1"/>
        <w:tabs>
          <w:tab w:val="right" w:leader="dot" w:pos="9282"/>
        </w:tabs>
      </w:pPr>
      <w:hyperlink w:anchor="_Toc_4_4_0000000006" w:history="1">
        <w:r>
          <w:rPr/>
          <w:t xml:space="preserve">3.中央2025年安可替代专项-津财行政指[2025]69号绩效目标表</w:t>
        </w:r>
        <w:r>
          <w:tab/>
        </w:r>
        <w:r>
          <w:fldChar w:fldCharType="begin"/>
        </w:r>
        <w:r>
          <w:instrText xml:space="preserve">PAGEREF _Toc_4_4_0000000006 \h</w:instrText>
        </w:r>
        <w:r>
          <w:fldChar w:fldCharType="separate"/>
        </w:r>
        <w:r>
          <w:t xml:space="preserve">7</w:t>
        </w:r>
        <w:r>
          <w:fldChar w:fldCharType="end"/>
        </w:r>
      </w:hyperlink>
    </w:p>
    <w:p>
      <w:pPr>
        <w:pStyle w:val="TOC1"/>
        <w:tabs>
          <w:tab w:val="right" w:leader="dot" w:pos="9282"/>
        </w:tabs>
      </w:pPr>
      <w:hyperlink w:anchor="_Toc_4_4_0000000007" w:history="1">
        <w:r>
          <w:rPr/>
          <w:t xml:space="preserve">4.2026年知识产权快速协同保护专项——保护中心专项业务费绩效目标表</w:t>
        </w:r>
        <w:r>
          <w:tab/>
        </w:r>
        <w:r>
          <w:fldChar w:fldCharType="begin"/>
        </w:r>
        <w:r>
          <w:instrText xml:space="preserve">PAGEREF _Toc_4_4_0000000007 \h</w:instrText>
        </w:r>
        <w:r>
          <w:fldChar w:fldCharType="separate"/>
        </w:r>
        <w:r>
          <w:t xml:space="preserve">8</w:t>
        </w:r>
        <w:r>
          <w:fldChar w:fldCharType="end"/>
        </w:r>
      </w:hyperlink>
    </w:p>
    <w:p>
      <w:pPr>
        <w:pStyle w:val="TOC1"/>
        <w:tabs>
          <w:tab w:val="right" w:leader="dot" w:pos="9282"/>
        </w:tabs>
      </w:pPr>
      <w:hyperlink w:anchor="_Toc_4_4_0000000008" w:history="1">
        <w:r>
          <w:rPr/>
          <w:t xml:space="preserve">5.2026年知识产权快速协同保护专项——数据库账号采购费绩效目标表</w:t>
        </w:r>
        <w:r>
          <w:tab/>
        </w:r>
        <w:r>
          <w:fldChar w:fldCharType="begin"/>
        </w:r>
        <w:r>
          <w:instrText xml:space="preserve">PAGEREF _Toc_4_4_0000000008 \h</w:instrText>
        </w:r>
        <w:r>
          <w:fldChar w:fldCharType="separate"/>
        </w:r>
        <w:r>
          <w:t xml:space="preserve">9</w:t>
        </w:r>
        <w:r>
          <w:fldChar w:fldCharType="end"/>
        </w:r>
      </w:hyperlink>
    </w:p>
    <w:p>
      <w:pPr>
        <w:pStyle w:val="TOC1"/>
        <w:tabs>
          <w:tab w:val="right" w:leader="dot" w:pos="9282"/>
        </w:tabs>
      </w:pPr>
      <w:hyperlink w:anchor="_Toc_4_4_0000000009" w:history="1">
        <w:r>
          <w:rPr/>
          <w:t xml:space="preserve">6.2026年知识产权快速协同保护专项——知识产权服务平台运行经费绩效目标表</w:t>
        </w:r>
        <w:r>
          <w:tab/>
        </w:r>
        <w:r>
          <w:fldChar w:fldCharType="begin"/>
        </w:r>
        <w:r>
          <w:instrText xml:space="preserve">PAGEREF _Toc_4_4_0000000009 \h</w:instrText>
        </w:r>
        <w:r>
          <w:fldChar w:fldCharType="separate"/>
        </w:r>
        <w:r>
          <w:t xml:space="preserve">10</w:t>
        </w:r>
        <w:r>
          <w:fldChar w:fldCharType="end"/>
        </w:r>
      </w:hyperlink>
    </w:p>
    <w:p>
      <w:pPr>
        <w:pStyle w:val="TOC1"/>
        <w:tabs>
          <w:tab w:val="right" w:leader="dot" w:pos="9282"/>
        </w:tabs>
      </w:pPr>
      <w:hyperlink w:anchor="_Toc_4_4_0000000010" w:history="1">
        <w:r>
          <w:rPr/>
          <w:t xml:space="preserve">7.2026年编制外长聘人员经费项目（专利预审员）绩效目标表</w:t>
        </w:r>
        <w:r>
          <w:tab/>
        </w:r>
        <w:r>
          <w:fldChar w:fldCharType="begin"/>
        </w:r>
        <w:r>
          <w:instrText xml:space="preserve">PAGEREF _Toc_4_4_0000000010 \h</w:instrText>
        </w:r>
        <w:r>
          <w:fldChar w:fldCharType="separate"/>
        </w:r>
        <w:r>
          <w:t xml:space="preserve">11</w:t>
        </w:r>
        <w:r>
          <w:fldChar w:fldCharType="end"/>
        </w:r>
      </w:hyperlink>
    </w:p>
    <w:p>
      <w:pPr>
        <w:pStyle w:val="TOC1"/>
        <w:tabs>
          <w:tab w:val="right" w:leader="dot" w:pos="9282"/>
        </w:tabs>
      </w:pPr>
      <w:hyperlink w:anchor="_Toc_4_4_0000000011" w:history="1">
        <w:r>
          <w:rPr/>
          <w:t xml:space="preserve">8.2026年知识产权保护项目—企业海外纠纷应对指导（自有资金）（其他收入资金）绩效目标表</w:t>
        </w:r>
        <w:r>
          <w:tab/>
        </w:r>
        <w:r>
          <w:fldChar w:fldCharType="begin"/>
        </w:r>
        <w:r>
          <w:instrText xml:space="preserve">PAGEREF _Toc_4_4_0000000011 \h</w:instrText>
        </w:r>
        <w:r>
          <w:fldChar w:fldCharType="separate"/>
        </w:r>
        <w:r>
          <w:t xml:space="preserve">12</w:t>
        </w:r>
        <w:r>
          <w:fldChar w:fldCharType="end"/>
        </w:r>
      </w:hyperlink>
    </w:p>
    <w:p>
      <w:pPr>
        <w:sectPr>
          <w:footerReference w:type="even" r:id="rId21"/>
          <w:footerReference w:type="default" r:id="rId22"/>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1.2026年滨海新区知识产权运营促进保护发展工作经费绩效目标表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610101天津市滨海新区知识产权局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2026年滨海新区知识产权运营促进保护发展工作经费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1020000.00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1020000.00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撑知识产权保护工作站和维权援助中心建设，推动知识产权保护体系向基层延伸，提高知识产权保护服务的便利性。通过为新区知识产权重点企业提供知识产权专项保护服务，服务战略性优势企业开展海外知识产权保护，提升滨海新区企业在海外市场的竞争力和抗风险能力。通过对滨海新区知识产权保护工作情况进行摸底，了解知识产权保护工作进步情况和存在不足，为下一步决策提供有效参考和依据。通过开展知识产权保护宣传活动，不断增强知识产权保护的影响力和覆盖面。</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撑知识产权保护工作站和维权援助中心建设，推动知识产权保护体系向基层延伸，提高知识产权保护服务的便利性；通过为新区知识产权重点企业提供知识产权专项保护服务，服务战略性优势企业开展海外知识产权保护，提升滨海新区企业在海外市场的竞争力和抗风险能力；通过对滨海新区知识产权保护工作情况进行摸底，了解知识产权保护工作进步情况和存在不足，为下一步决策提供有效参考和依据；通过开展知识产权保护宣传活动，不断增强知识产权保护的影响力和覆盖面；通过实施知识产权专利转化运用重点项目，推动知识产权质押融资持续保持高水平发展，知识产权转化运用数量和效益稳步提升；通过开展“茶淀玫瑰香葡萄”国家地理标志产品保护示范区建设相关项目，提高“茶淀玫瑰香葡萄”国家地理标志的影响力和经济效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支撑服务知识产权保护工作站</w:t>
            </w:r>
          </w:p>
        </w:tc>
        <w:tc>
          <w:tcPr>
            <w:tcW w:w="3430" w:type="dxa"/>
            <w:hMerge w:val="restart"/>
            <w:vAlign w:val="center"/>
          </w:tcPr>
          <w:p>
            <w:pPr>
              <w:pStyle w:val="单元格样式2"/>
            </w:pPr>
            <w:r>
              <w:t xml:space="preserve">支撑服务知识产权保护工作站</w:t>
            </w:r>
          </w:p>
        </w:tc>
        <w:tc>
          <w:tcPr>
            <w:tcW w:w="0" w:type="auto"/>
            <w:hMerge/>
            <w:vAlign w:val="center"/>
          </w:tcPr>
          <w:p>
            <w:pPr/>
          </w:p>
        </w:tc>
        <w:tc>
          <w:tcPr>
            <w:tcW w:w="2551" w:type="dxa"/>
            <w:hMerge w:val="restart"/>
            <w:vAlign w:val="center"/>
          </w:tcPr>
          <w:p>
            <w:pPr>
              <w:pStyle w:val="单元格样式2"/>
            </w:pPr>
            <w:r>
              <w:t xml:space="preserve">≥12家</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服务重点企业海外知识产权维权</w:t>
            </w:r>
          </w:p>
        </w:tc>
        <w:tc>
          <w:tcPr>
            <w:tcW w:w="3430" w:type="dxa"/>
            <w:hMerge w:val="restart"/>
            <w:vAlign w:val="center"/>
          </w:tcPr>
          <w:p>
            <w:pPr>
              <w:pStyle w:val="单元格样式2"/>
            </w:pPr>
            <w:r>
              <w:t xml:space="preserve">服务重点企业海外知识产权维权</w:t>
            </w:r>
          </w:p>
        </w:tc>
        <w:tc>
          <w:tcPr>
            <w:tcW w:w="0" w:type="auto"/>
            <w:hMerge/>
            <w:vAlign w:val="center"/>
          </w:tcPr>
          <w:p>
            <w:pPr/>
          </w:p>
        </w:tc>
        <w:tc>
          <w:tcPr>
            <w:tcW w:w="2551" w:type="dxa"/>
            <w:hMerge w:val="restart"/>
            <w:vAlign w:val="center"/>
          </w:tcPr>
          <w:p>
            <w:pPr>
              <w:pStyle w:val="单元格样式2"/>
            </w:pPr>
            <w:r>
              <w:t xml:space="preserve">≥2家</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知识产权保护满意度评估样本数量</w:t>
            </w:r>
          </w:p>
        </w:tc>
        <w:tc>
          <w:tcPr>
            <w:tcW w:w="3430" w:type="dxa"/>
            <w:hMerge w:val="restart"/>
            <w:vAlign w:val="center"/>
          </w:tcPr>
          <w:p>
            <w:pPr>
              <w:pStyle w:val="单元格样式2"/>
            </w:pPr>
            <w:r>
              <w:t xml:space="preserve">知识产权保护满意度评估样本数</w:t>
            </w:r>
          </w:p>
        </w:tc>
        <w:tc>
          <w:tcPr>
            <w:tcW w:w="0" w:type="auto"/>
            <w:hMerge/>
            <w:vAlign w:val="center"/>
          </w:tcPr>
          <w:p>
            <w:pPr/>
          </w:p>
        </w:tc>
        <w:tc>
          <w:tcPr>
            <w:tcW w:w="2551" w:type="dxa"/>
            <w:hMerge w:val="restart"/>
            <w:vAlign w:val="center"/>
          </w:tcPr>
          <w:p>
            <w:pPr>
              <w:pStyle w:val="单元格样式2"/>
            </w:pPr>
            <w:r>
              <w:t xml:space="preserve">≥500个</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开展知识产权宣传活动</w:t>
            </w:r>
          </w:p>
        </w:tc>
        <w:tc>
          <w:tcPr>
            <w:tcW w:w="3430" w:type="dxa"/>
            <w:hMerge w:val="restart"/>
            <w:vAlign w:val="center"/>
          </w:tcPr>
          <w:p>
            <w:pPr>
              <w:pStyle w:val="单元格样式2"/>
            </w:pPr>
            <w:r>
              <w:t xml:space="preserve">开展知识产权宣传活动</w:t>
            </w:r>
          </w:p>
        </w:tc>
        <w:tc>
          <w:tcPr>
            <w:tcW w:w="0" w:type="auto"/>
            <w:hMerge/>
            <w:vAlign w:val="center"/>
          </w:tcPr>
          <w:p>
            <w:pPr/>
          </w:p>
        </w:tc>
        <w:tc>
          <w:tcPr>
            <w:tcW w:w="2551" w:type="dxa"/>
            <w:hMerge w:val="restart"/>
            <w:vAlign w:val="center"/>
          </w:tcPr>
          <w:p>
            <w:pPr>
              <w:pStyle w:val="单元格样式2"/>
            </w:pPr>
            <w:r>
              <w:t xml:space="preserve">≥2次</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实施专利转化运用重点项目</w:t>
            </w:r>
          </w:p>
        </w:tc>
        <w:tc>
          <w:tcPr>
            <w:tcW w:w="3430" w:type="dxa"/>
            <w:hMerge w:val="restart"/>
            <w:vAlign w:val="center"/>
          </w:tcPr>
          <w:p>
            <w:pPr>
              <w:pStyle w:val="单元格样式2"/>
            </w:pPr>
            <w:r>
              <w:t xml:space="preserve">实施专利转化运用重点项目</w:t>
            </w:r>
          </w:p>
        </w:tc>
        <w:tc>
          <w:tcPr>
            <w:tcW w:w="0" w:type="auto"/>
            <w:hMerge/>
            <w:vAlign w:val="center"/>
          </w:tcPr>
          <w:p>
            <w:pPr/>
          </w:p>
        </w:tc>
        <w:tc>
          <w:tcPr>
            <w:tcW w:w="2551" w:type="dxa"/>
            <w:hMerge w:val="restart"/>
            <w:vAlign w:val="center"/>
          </w:tcPr>
          <w:p>
            <w:pPr>
              <w:pStyle w:val="单元格样式2"/>
            </w:pPr>
            <w:r>
              <w:t xml:space="preserve">4个</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建设“茶淀玫瑰香葡萄”国家地理标志产品保护示范区</w:t>
            </w:r>
          </w:p>
        </w:tc>
        <w:tc>
          <w:tcPr>
            <w:tcW w:w="3430" w:type="dxa"/>
            <w:hMerge w:val="restart"/>
            <w:vAlign w:val="center"/>
          </w:tcPr>
          <w:p>
            <w:pPr>
              <w:pStyle w:val="单元格样式2"/>
            </w:pPr>
            <w:r>
              <w:t xml:space="preserve">建设“茶淀玫瑰香葡萄”国家地理标志产品保护示范区</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知识产权保护咨询服务合同履约率</w:t>
            </w:r>
          </w:p>
        </w:tc>
        <w:tc>
          <w:tcPr>
            <w:tcW w:w="3430" w:type="dxa"/>
            <w:hMerge w:val="restart"/>
            <w:vAlign w:val="center"/>
          </w:tcPr>
          <w:p>
            <w:pPr>
              <w:pStyle w:val="单元格样式2"/>
            </w:pPr>
            <w:r>
              <w:t xml:space="preserve">知识产权保护咨询服务合同履约率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滨海新区新增发明专利数量</w:t>
            </w:r>
          </w:p>
        </w:tc>
        <w:tc>
          <w:tcPr>
            <w:tcW w:w="3430" w:type="dxa"/>
            <w:hMerge w:val="restart"/>
            <w:vAlign w:val="center"/>
          </w:tcPr>
          <w:p>
            <w:pPr>
              <w:pStyle w:val="单元格样式2"/>
            </w:pPr>
            <w:r>
              <w:t xml:space="preserve">滨海新区新增发明专利数量</w:t>
            </w:r>
          </w:p>
        </w:tc>
        <w:tc>
          <w:tcPr>
            <w:tcW w:w="0" w:type="auto"/>
            <w:hMerge/>
            <w:vAlign w:val="center"/>
          </w:tcPr>
          <w:p>
            <w:pPr/>
          </w:p>
        </w:tc>
        <w:tc>
          <w:tcPr>
            <w:tcW w:w="2551" w:type="dxa"/>
            <w:hMerge w:val="restart"/>
            <w:vAlign w:val="center"/>
          </w:tcPr>
          <w:p>
            <w:pPr>
              <w:pStyle w:val="单元格样式2"/>
            </w:pPr>
            <w:r>
              <w:t xml:space="preserve">≥2000件</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滨海新区新增高价值专利数量</w:t>
            </w:r>
          </w:p>
        </w:tc>
        <w:tc>
          <w:tcPr>
            <w:tcW w:w="3430" w:type="dxa"/>
            <w:hMerge w:val="restart"/>
            <w:vAlign w:val="center"/>
          </w:tcPr>
          <w:p>
            <w:pPr>
              <w:pStyle w:val="单元格样式2"/>
            </w:pPr>
            <w:r>
              <w:t xml:space="preserve">滨海新区新增高价值专利数量</w:t>
            </w:r>
          </w:p>
        </w:tc>
        <w:tc>
          <w:tcPr>
            <w:tcW w:w="0" w:type="auto"/>
            <w:hMerge/>
            <w:vAlign w:val="center"/>
          </w:tcPr>
          <w:p>
            <w:pPr/>
          </w:p>
        </w:tc>
        <w:tc>
          <w:tcPr>
            <w:tcW w:w="2551" w:type="dxa"/>
            <w:hMerge w:val="restart"/>
            <w:vAlign w:val="center"/>
          </w:tcPr>
          <w:p>
            <w:pPr>
              <w:pStyle w:val="单元格样式2"/>
            </w:pPr>
            <w:r>
              <w:t xml:space="preserve">≥1000件</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滨海新区知识产权普惠质押融资新增笔数</w:t>
            </w:r>
          </w:p>
        </w:tc>
        <w:tc>
          <w:tcPr>
            <w:tcW w:w="3430" w:type="dxa"/>
            <w:hMerge w:val="restart"/>
            <w:vAlign w:val="center"/>
          </w:tcPr>
          <w:p>
            <w:pPr>
              <w:pStyle w:val="单元格样式2"/>
            </w:pPr>
            <w:r>
              <w:t xml:space="preserve">滨海新区知识产权普惠质押融资新增笔数</w:t>
            </w:r>
          </w:p>
        </w:tc>
        <w:tc>
          <w:tcPr>
            <w:tcW w:w="0" w:type="auto"/>
            <w:hMerge/>
            <w:vAlign w:val="center"/>
          </w:tcPr>
          <w:p>
            <w:pPr/>
          </w:p>
        </w:tc>
        <w:tc>
          <w:tcPr>
            <w:tcW w:w="2551" w:type="dxa"/>
            <w:hMerge w:val="restart"/>
            <w:vAlign w:val="center"/>
          </w:tcPr>
          <w:p>
            <w:pPr>
              <w:pStyle w:val="单元格样式2"/>
            </w:pPr>
            <w:r>
              <w:t xml:space="preserve">≥20笔</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滨海新区知识产权转让数量</w:t>
            </w:r>
          </w:p>
        </w:tc>
        <w:tc>
          <w:tcPr>
            <w:tcW w:w="3430" w:type="dxa"/>
            <w:hMerge w:val="restart"/>
            <w:vAlign w:val="center"/>
          </w:tcPr>
          <w:p>
            <w:pPr>
              <w:pStyle w:val="单元格样式2"/>
            </w:pPr>
            <w:r>
              <w:t xml:space="preserve">滨海新区知识产权转让数量</w:t>
            </w:r>
          </w:p>
        </w:tc>
        <w:tc>
          <w:tcPr>
            <w:tcW w:w="0" w:type="auto"/>
            <w:hMerge/>
            <w:vAlign w:val="center"/>
          </w:tcPr>
          <w:p>
            <w:pPr/>
          </w:p>
        </w:tc>
        <w:tc>
          <w:tcPr>
            <w:tcW w:w="2551" w:type="dxa"/>
            <w:hMerge w:val="restart"/>
            <w:vAlign w:val="center"/>
          </w:tcPr>
          <w:p>
            <w:pPr>
              <w:pStyle w:val="单元格样式2"/>
            </w:pPr>
            <w:r>
              <w:t xml:space="preserve">≥3000件</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“茶淀玫瑰香葡萄”国家地理标志产品保护示范区通过率</w:t>
            </w:r>
          </w:p>
        </w:tc>
        <w:tc>
          <w:tcPr>
            <w:tcW w:w="3430" w:type="dxa"/>
            <w:hMerge w:val="restart"/>
            <w:vAlign w:val="center"/>
          </w:tcPr>
          <w:p>
            <w:pPr>
              <w:pStyle w:val="单元格样式2"/>
            </w:pPr>
            <w:r>
              <w:t xml:space="preserve">“茶淀玫瑰香葡萄”国家地理标志产品保护示范区通过率</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知识产权运营促进保护发展工作完成时间</w:t>
            </w:r>
          </w:p>
        </w:tc>
        <w:tc>
          <w:tcPr>
            <w:tcW w:w="3430" w:type="dxa"/>
            <w:hMerge w:val="restart"/>
            <w:vAlign w:val="center"/>
          </w:tcPr>
          <w:p>
            <w:pPr>
              <w:pStyle w:val="单元格样式2"/>
            </w:pPr>
            <w:r>
              <w:t xml:space="preserve">知识产权运营促进保护发展工作完成时间</w:t>
            </w:r>
          </w:p>
        </w:tc>
        <w:tc>
          <w:tcPr>
            <w:tcW w:w="0" w:type="auto"/>
            <w:hMerge/>
            <w:vAlign w:val="center"/>
          </w:tcPr>
          <w:p>
            <w:pPr/>
          </w:p>
        </w:tc>
        <w:tc>
          <w:tcPr>
            <w:tcW w:w="2551" w:type="dxa"/>
            <w:hMerge w:val="restart"/>
            <w:vAlign w:val="center"/>
          </w:tcPr>
          <w:p>
            <w:pPr>
              <w:pStyle w:val="单元格样式2"/>
            </w:pPr>
            <w:r>
              <w:t xml:space="preserve">2026年11月底前</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每家知识产权保护工作站和维权援助中心支撑费用</w:t>
            </w:r>
          </w:p>
        </w:tc>
        <w:tc>
          <w:tcPr>
            <w:tcW w:w="3430" w:type="dxa"/>
            <w:hMerge w:val="restart"/>
            <w:vAlign w:val="center"/>
          </w:tcPr>
          <w:p>
            <w:pPr>
              <w:pStyle w:val="单元格样式2"/>
            </w:pPr>
            <w:r>
              <w:t xml:space="preserve">每家知识产权保护工作站和维权援助中心支撑费用</w:t>
            </w:r>
          </w:p>
        </w:tc>
        <w:tc>
          <w:tcPr>
            <w:tcW w:w="0" w:type="auto"/>
            <w:hMerge/>
            <w:vAlign w:val="center"/>
          </w:tcPr>
          <w:p>
            <w:pPr/>
          </w:p>
        </w:tc>
        <w:tc>
          <w:tcPr>
            <w:tcW w:w="2551" w:type="dxa"/>
            <w:hMerge w:val="restart"/>
            <w:vAlign w:val="center"/>
          </w:tcPr>
          <w:p>
            <w:pPr>
              <w:pStyle w:val="单元格样式2"/>
            </w:pPr>
            <w:r>
              <w:t xml:space="preserve">≤1万元</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每份专利情报检索、收集、识别、分析报告费用</w:t>
            </w:r>
          </w:p>
        </w:tc>
        <w:tc>
          <w:tcPr>
            <w:tcW w:w="3430" w:type="dxa"/>
            <w:hMerge w:val="restart"/>
            <w:vAlign w:val="center"/>
          </w:tcPr>
          <w:p>
            <w:pPr>
              <w:pStyle w:val="单元格样式2"/>
            </w:pPr>
            <w:r>
              <w:t xml:space="preserve">每份专利情报检索、收集、识别、分析报告费用</w:t>
            </w:r>
          </w:p>
        </w:tc>
        <w:tc>
          <w:tcPr>
            <w:tcW w:w="0" w:type="auto"/>
            <w:hMerge/>
            <w:vAlign w:val="center"/>
          </w:tcPr>
          <w:p>
            <w:pPr/>
          </w:p>
        </w:tc>
        <w:tc>
          <w:tcPr>
            <w:tcW w:w="2551" w:type="dxa"/>
            <w:hMerge w:val="restart"/>
            <w:vAlign w:val="center"/>
          </w:tcPr>
          <w:p>
            <w:pPr>
              <w:pStyle w:val="单元格样式2"/>
            </w:pPr>
            <w:r>
              <w:t xml:space="preserve">≤5万元</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知识产权保护满意度评估费用</w:t>
            </w:r>
          </w:p>
        </w:tc>
        <w:tc>
          <w:tcPr>
            <w:tcW w:w="3430" w:type="dxa"/>
            <w:hMerge w:val="restart"/>
            <w:vAlign w:val="center"/>
          </w:tcPr>
          <w:p>
            <w:pPr>
              <w:pStyle w:val="单元格样式2"/>
            </w:pPr>
            <w:r>
              <w:t xml:space="preserve">知识产权保护满意度评估费用</w:t>
            </w:r>
          </w:p>
        </w:tc>
        <w:tc>
          <w:tcPr>
            <w:tcW w:w="0" w:type="auto"/>
            <w:hMerge/>
            <w:vAlign w:val="center"/>
          </w:tcPr>
          <w:p>
            <w:pPr/>
          </w:p>
        </w:tc>
        <w:tc>
          <w:tcPr>
            <w:tcW w:w="2551" w:type="dxa"/>
            <w:hMerge w:val="restart"/>
            <w:vAlign w:val="center"/>
          </w:tcPr>
          <w:p>
            <w:pPr>
              <w:pStyle w:val="单元格样式2"/>
            </w:pPr>
            <w:r>
              <w:t xml:space="preserve">≤5万元</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知识产权保护宣传等费用</w:t>
            </w:r>
          </w:p>
        </w:tc>
        <w:tc>
          <w:tcPr>
            <w:tcW w:w="3430" w:type="dxa"/>
            <w:hMerge w:val="restart"/>
            <w:vAlign w:val="center"/>
          </w:tcPr>
          <w:p>
            <w:pPr>
              <w:pStyle w:val="单元格样式2"/>
            </w:pPr>
            <w:r>
              <w:t xml:space="preserve">知识产权保护宣传等费用</w:t>
            </w:r>
          </w:p>
        </w:tc>
        <w:tc>
          <w:tcPr>
            <w:tcW w:w="0" w:type="auto"/>
            <w:hMerge/>
            <w:vAlign w:val="center"/>
          </w:tcPr>
          <w:p>
            <w:pPr/>
          </w:p>
        </w:tc>
        <w:tc>
          <w:tcPr>
            <w:tcW w:w="2551" w:type="dxa"/>
            <w:hMerge w:val="restart"/>
            <w:vAlign w:val="center"/>
          </w:tcPr>
          <w:p>
            <w:pPr>
              <w:pStyle w:val="单元格样式2"/>
            </w:pPr>
            <w:r>
              <w:t xml:space="preserve">≤5万元</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平均实施1项知识产权转化运用重点项目</w:t>
            </w:r>
          </w:p>
        </w:tc>
        <w:tc>
          <w:tcPr>
            <w:tcW w:w="3430" w:type="dxa"/>
            <w:hMerge w:val="restart"/>
            <w:vAlign w:val="center"/>
          </w:tcPr>
          <w:p>
            <w:pPr>
              <w:pStyle w:val="单元格样式2"/>
            </w:pPr>
            <w:r>
              <w:t xml:space="preserve">平均实施1项知识产权转化运用重点项目</w:t>
            </w:r>
          </w:p>
        </w:tc>
        <w:tc>
          <w:tcPr>
            <w:tcW w:w="0" w:type="auto"/>
            <w:hMerge/>
            <w:vAlign w:val="center"/>
          </w:tcPr>
          <w:p>
            <w:pPr/>
          </w:p>
        </w:tc>
        <w:tc>
          <w:tcPr>
            <w:tcW w:w="2551" w:type="dxa"/>
            <w:hMerge w:val="restart"/>
            <w:vAlign w:val="center"/>
          </w:tcPr>
          <w:p>
            <w:pPr>
              <w:pStyle w:val="单元格样式2"/>
            </w:pPr>
            <w:r>
              <w:t xml:space="preserve">≤15万元</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“茶淀玫瑰香葡萄”国家地理标志产品保护示范区建设相关费用</w:t>
            </w:r>
          </w:p>
        </w:tc>
        <w:tc>
          <w:tcPr>
            <w:tcW w:w="3430" w:type="dxa"/>
            <w:hMerge w:val="restart"/>
            <w:vAlign w:val="center"/>
          </w:tcPr>
          <w:p>
            <w:pPr>
              <w:pStyle w:val="单元格样式2"/>
            </w:pPr>
            <w:r>
              <w:t xml:space="preserve">“茶淀玫瑰香葡萄”国家地理标志产品保护示范区建设相关费用</w:t>
            </w:r>
          </w:p>
        </w:tc>
        <w:tc>
          <w:tcPr>
            <w:tcW w:w="0" w:type="auto"/>
            <w:hMerge/>
            <w:vAlign w:val="center"/>
          </w:tcPr>
          <w:p>
            <w:pPr/>
          </w:p>
        </w:tc>
        <w:tc>
          <w:tcPr>
            <w:tcW w:w="2551" w:type="dxa"/>
            <w:hMerge w:val="restart"/>
            <w:vAlign w:val="center"/>
          </w:tcPr>
          <w:p>
            <w:pPr>
              <w:pStyle w:val="单元格样式2"/>
            </w:pPr>
            <w:r>
              <w:t xml:space="preserve">≤10万元</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滨海新区知识产权综合实力</w:t>
            </w:r>
          </w:p>
        </w:tc>
        <w:tc>
          <w:tcPr>
            <w:tcW w:w="3430" w:type="dxa"/>
            <w:hMerge w:val="restart"/>
            <w:vAlign w:val="center"/>
          </w:tcPr>
          <w:p>
            <w:pPr>
              <w:pStyle w:val="单元格样式2"/>
            </w:pPr>
            <w:r>
              <w:t xml:space="preserve">滨海新区知识产权综合实力</w:t>
            </w:r>
          </w:p>
        </w:tc>
        <w:tc>
          <w:tcPr>
            <w:tcW w:w="0" w:type="auto"/>
            <w:hMerge/>
            <w:vAlign w:val="center"/>
          </w:tcPr>
          <w:p>
            <w:pPr/>
          </w:p>
        </w:tc>
        <w:tc>
          <w:tcPr>
            <w:tcW w:w="2551" w:type="dxa"/>
            <w:hMerge w:val="restart"/>
            <w:vAlign w:val="center"/>
          </w:tcPr>
          <w:p>
            <w:pPr>
              <w:pStyle w:val="单元格样式2"/>
            </w:pPr>
            <w:r>
              <w:t xml:space="preserve">明显提升</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“茶淀玫瑰香葡萄”国家地理标志社会知名度和影响力</w:t>
            </w:r>
          </w:p>
        </w:tc>
        <w:tc>
          <w:tcPr>
            <w:tcW w:w="3430" w:type="dxa"/>
            <w:hMerge w:val="restart"/>
            <w:vAlign w:val="center"/>
          </w:tcPr>
          <w:p>
            <w:pPr>
              <w:pStyle w:val="单元格样式2"/>
            </w:pPr>
            <w:r>
              <w:t xml:space="preserve">“茶淀玫瑰香葡萄”国家地理标志社会知名度和影响力</w:t>
            </w:r>
          </w:p>
        </w:tc>
        <w:tc>
          <w:tcPr>
            <w:tcW w:w="0" w:type="auto"/>
            <w:hMerge/>
            <w:vAlign w:val="center"/>
          </w:tcPr>
          <w:p>
            <w:pPr/>
          </w:p>
        </w:tc>
        <w:tc>
          <w:tcPr>
            <w:tcW w:w="2551" w:type="dxa"/>
            <w:hMerge w:val="restart"/>
            <w:vAlign w:val="center"/>
          </w:tcPr>
          <w:p>
            <w:pPr>
              <w:pStyle w:val="单元格样式2"/>
            </w:pPr>
            <w:r>
              <w:t xml:space="preserve">明显提升</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服务企业满意度</w:t>
            </w:r>
          </w:p>
        </w:tc>
        <w:tc>
          <w:tcPr>
            <w:tcW w:w="3430" w:type="dxa"/>
            <w:hMerge w:val="restart"/>
            <w:vAlign w:val="center"/>
          </w:tcPr>
          <w:p>
            <w:pPr>
              <w:pStyle w:val="单元格样式2"/>
            </w:pPr>
            <w:r>
              <w:t xml:space="preserve">服务企业满意度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涉及维权企业满意度</w:t>
            </w:r>
          </w:p>
        </w:tc>
        <w:tc>
          <w:tcPr>
            <w:tcW w:w="3430" w:type="dxa"/>
            <w:hMerge w:val="restart"/>
            <w:vAlign w:val="center"/>
          </w:tcPr>
          <w:p>
            <w:pPr>
              <w:pStyle w:val="单元格样式2"/>
            </w:pPr>
            <w:r>
              <w:t xml:space="preserve">涉及维权企业满意度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r>
              <w:t xml:space="preserve">《关于做好全区“十五五”规划编制工作的通知》、《滨海新区知识产权专项资金管理办法》、《天津市滨海新区人民代表大会常务委员会关于加快打造知识产权保护新高地的决定》等文件</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2.2026年关于推动信创产业提升知识产权创造质量和运用效益的重点举措研究项目（自有资金）（其他收入资金）绩效目标表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610101天津市滨海新区知识产权局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2026年关于推动信创产业提升知识产权创造质量和运用效益的重点举措研究项目（自有资金）（其他收入资金）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 </w:t>
            </w:r>
          </w:p>
        </w:tc>
        <w:tc>
          <w:tcPr>
            <w:tcW w:w="1276" w:type="dxa"/>
            <w:vAlign w:val="center"/>
          </w:tcPr>
          <w:p>
            <w:pPr>
              <w:pStyle w:val="单元格样式1"/>
            </w:pPr>
            <w:r>
              <w:t xml:space="preserve">其他资金</w:t>
            </w:r>
          </w:p>
        </w:tc>
        <w:tc>
          <w:tcPr>
            <w:tcW w:w="1276" w:type="dxa"/>
            <w:vAlign w:val="center"/>
          </w:tcPr>
          <w:p>
            <w:pPr>
              <w:pStyle w:val="单元格样式2"/>
            </w:pPr>
            <w:r>
              <w:t xml:space="preserve">10000.00</w:t>
            </w:r>
          </w:p>
        </w:tc>
      </w:tr>
      <w:tr>
        <w:trPr>
          <w:trHeight w:val="369"/>
          <w:jc w:val="center"/>
        </w:trPr>
        <w:tc>
          <w:tcPr>
            <w:tcW w:w="1276" w:type="dxa"/>
            <w:vMerge/>
          </w:tcPr>
          <w:p>
            <w:pPr/>
          </w:p>
        </w:tc>
        <w:tc>
          <w:tcPr>
            <w:tcW w:w="8589" w:type="dxa"/>
            <w:hMerge w:val="restart"/>
            <w:vAlign w:val="center"/>
          </w:tcPr>
          <w:p>
            <w:pPr>
              <w:pStyle w:val="单元格样式2"/>
            </w:pPr>
            <w:r>
              <w:t xml:space="preserve">区知识产权局申报的“关于推动信创产业提升知识产权创造质量和运用效益的重点举措研究”项目，经天津市哲学社会科学工作办公室评审同意立项，资助经费1万元用于课题研究。通过完成课题研究，推动信创产业提升知识产权创造质量、运用效益和保护力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1.通过完成课题研究，推动信创产业提升知识产权创造质量、运用效益和保护力度。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研究报告</w:t>
            </w:r>
          </w:p>
        </w:tc>
        <w:tc>
          <w:tcPr>
            <w:tcW w:w="3430" w:type="dxa"/>
            <w:hMerge w:val="restart"/>
            <w:vAlign w:val="center"/>
          </w:tcPr>
          <w:p>
            <w:pPr>
              <w:pStyle w:val="单元格样式2"/>
            </w:pPr>
            <w:r>
              <w:t xml:space="preserve">研究报告</w:t>
            </w:r>
          </w:p>
        </w:tc>
        <w:tc>
          <w:tcPr>
            <w:tcW w:w="0" w:type="auto"/>
            <w:hMerge/>
            <w:vAlign w:val="center"/>
          </w:tcPr>
          <w:p>
            <w:pPr/>
          </w:p>
        </w:tc>
        <w:tc>
          <w:tcPr>
            <w:tcW w:w="2551" w:type="dxa"/>
            <w:hMerge w:val="restart"/>
            <w:vAlign w:val="center"/>
          </w:tcPr>
          <w:p>
            <w:pPr>
              <w:pStyle w:val="单元格样式2"/>
            </w:pPr>
            <w:r>
              <w:t xml:space="preserve">≥1份</w:t>
            </w:r>
          </w:p>
        </w:tc>
        <w:tc>
          <w:tcPr>
            <w:tcW w:w="0" w:type="auto"/>
            <w:hMerge/>
          </w:tcPr>
          <w:p>
            <w:pPr>
              <w:pStyle w:val="单元格样式2"/>
            </w:pPr>
            <w:r>
              <w:t xml:space="preserve">《天津市2025年哲学社会科学规划智库项目（市级调研课题专项）立项通知》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研究成果验收通过率</w:t>
            </w:r>
          </w:p>
        </w:tc>
        <w:tc>
          <w:tcPr>
            <w:tcW w:w="3430" w:type="dxa"/>
            <w:hMerge w:val="restart"/>
            <w:vAlign w:val="center"/>
          </w:tcPr>
          <w:p>
            <w:pPr>
              <w:pStyle w:val="单元格样式2"/>
            </w:pPr>
            <w:r>
              <w:t xml:space="preserve">研究成果验收通过率</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r>
              <w:t xml:space="preserve">《天津市2025年哲学社会科学规划智库项目（市级调研课题专项）立项通知》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研究报告完成时间</w:t>
            </w:r>
          </w:p>
        </w:tc>
        <w:tc>
          <w:tcPr>
            <w:tcW w:w="3430" w:type="dxa"/>
            <w:hMerge w:val="restart"/>
            <w:vAlign w:val="center"/>
          </w:tcPr>
          <w:p>
            <w:pPr>
              <w:pStyle w:val="单元格样式2"/>
            </w:pPr>
            <w:r>
              <w:t xml:space="preserve">研究报告完成时间</w:t>
            </w:r>
          </w:p>
        </w:tc>
        <w:tc>
          <w:tcPr>
            <w:tcW w:w="0" w:type="auto"/>
            <w:hMerge/>
            <w:vAlign w:val="center"/>
          </w:tcPr>
          <w:p>
            <w:pPr/>
          </w:p>
        </w:tc>
        <w:tc>
          <w:tcPr>
            <w:tcW w:w="2551" w:type="dxa"/>
            <w:hMerge w:val="restart"/>
            <w:vAlign w:val="center"/>
          </w:tcPr>
          <w:p>
            <w:pPr>
              <w:pStyle w:val="单元格样式2"/>
            </w:pPr>
            <w:r>
              <w:t xml:space="preserve">2026年6月前</w:t>
            </w:r>
          </w:p>
        </w:tc>
        <w:tc>
          <w:tcPr>
            <w:tcW w:w="0" w:type="auto"/>
            <w:hMerge/>
          </w:tcPr>
          <w:p>
            <w:pPr>
              <w:pStyle w:val="单元格样式2"/>
            </w:pPr>
            <w:r>
              <w:t xml:space="preserve">《天津市2025年哲学社会科学规划智库项目（市级调研课题专项）立项通知》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调研经费</w:t>
            </w:r>
          </w:p>
        </w:tc>
        <w:tc>
          <w:tcPr>
            <w:tcW w:w="3430" w:type="dxa"/>
            <w:hMerge w:val="restart"/>
            <w:vAlign w:val="center"/>
          </w:tcPr>
          <w:p>
            <w:pPr>
              <w:pStyle w:val="单元格样式2"/>
            </w:pPr>
            <w:r>
              <w:t xml:space="preserve">调研经费</w:t>
            </w:r>
          </w:p>
        </w:tc>
        <w:tc>
          <w:tcPr>
            <w:tcW w:w="0" w:type="auto"/>
            <w:hMerge/>
            <w:vAlign w:val="center"/>
          </w:tcPr>
          <w:p>
            <w:pPr/>
          </w:p>
        </w:tc>
        <w:tc>
          <w:tcPr>
            <w:tcW w:w="2551" w:type="dxa"/>
            <w:hMerge w:val="restart"/>
            <w:vAlign w:val="center"/>
          </w:tcPr>
          <w:p>
            <w:pPr>
              <w:pStyle w:val="单元格样式2"/>
            </w:pPr>
            <w:r>
              <w:t xml:space="preserve">≤1万元</w:t>
            </w:r>
          </w:p>
        </w:tc>
        <w:tc>
          <w:tcPr>
            <w:tcW w:w="0" w:type="auto"/>
            <w:hMerge/>
          </w:tcPr>
          <w:p>
            <w:pPr>
              <w:pStyle w:val="单元格样式2"/>
            </w:pPr>
            <w:r>
              <w:t xml:space="preserve">《天津市2025年哲学社会科学规划智库项目（市级调研课题专项）立项通知》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推动信创产业提升知识产权创造质量、运用效益和保护力度</w:t>
            </w:r>
          </w:p>
        </w:tc>
        <w:tc>
          <w:tcPr>
            <w:tcW w:w="3430" w:type="dxa"/>
            <w:hMerge w:val="restart"/>
            <w:vAlign w:val="center"/>
          </w:tcPr>
          <w:p>
            <w:pPr>
              <w:pStyle w:val="单元格样式2"/>
            </w:pPr>
            <w:r>
              <w:t xml:space="preserve">推动信创产业提升知识产权创造质量、运用效益和保护力度</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r>
              <w:t xml:space="preserve">《天津市2025年哲学社会科学规划智库项目（市级调研课题专项）立项通知》</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新区信创产业创新主体满意度</w:t>
            </w:r>
          </w:p>
        </w:tc>
        <w:tc>
          <w:tcPr>
            <w:tcW w:w="3430" w:type="dxa"/>
            <w:hMerge w:val="restart"/>
            <w:vAlign w:val="center"/>
          </w:tcPr>
          <w:p>
            <w:pPr>
              <w:pStyle w:val="单元格样式2"/>
            </w:pPr>
            <w:r>
              <w:t xml:space="preserve">新区信创产业创新主体满意度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r>
              <w:t xml:space="preserve">《天津市2025年哲学社会科学规划智库项目（市级调研课题专项）立项通知》</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3.中央2025年安可替代专项-津财行政指[2025]69号绩效目标表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610101天津市滨海新区知识产权局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中央2025年安可替代专项-津财行政指[2025]69号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12232.20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12232.20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通过不断深化安可替代工作，保障单位信息系统安全水平，减少潜在安全风险。</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1.通过不断深化安可替代工作，保障单位信息系统安全水平，减少潜在安全风险。</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购买相关安可设备</w:t>
            </w:r>
          </w:p>
        </w:tc>
        <w:tc>
          <w:tcPr>
            <w:tcW w:w="3430" w:type="dxa"/>
            <w:hMerge w:val="restart"/>
            <w:vAlign w:val="center"/>
          </w:tcPr>
          <w:p>
            <w:pPr>
              <w:pStyle w:val="单元格样式2"/>
            </w:pPr>
            <w:r>
              <w:t xml:space="preserve">购买相关安可设备</w:t>
            </w:r>
          </w:p>
        </w:tc>
        <w:tc>
          <w:tcPr>
            <w:tcW w:w="0" w:type="auto"/>
            <w:hMerge/>
            <w:vAlign w:val="center"/>
          </w:tcPr>
          <w:p>
            <w:pPr/>
          </w:p>
        </w:tc>
        <w:tc>
          <w:tcPr>
            <w:tcW w:w="2551" w:type="dxa"/>
            <w:hMerge w:val="restart"/>
            <w:vAlign w:val="center"/>
          </w:tcPr>
          <w:p>
            <w:pPr>
              <w:pStyle w:val="单元格样式2"/>
            </w:pPr>
            <w:r>
              <w:t xml:space="preserve">≥2台</w:t>
            </w:r>
          </w:p>
        </w:tc>
        <w:tc>
          <w:tcPr>
            <w:tcW w:w="0" w:type="auto"/>
            <w:hMerge/>
          </w:tcPr>
          <w:p>
            <w:pPr>
              <w:pStyle w:val="单元格样式2"/>
            </w:pPr>
            <w:r>
              <w:t xml:space="preserve">《关于深化安可替代工作政府采购有关事项的通知》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设备验收合格率</w:t>
            </w:r>
          </w:p>
        </w:tc>
        <w:tc>
          <w:tcPr>
            <w:tcW w:w="3430" w:type="dxa"/>
            <w:hMerge w:val="restart"/>
            <w:vAlign w:val="center"/>
          </w:tcPr>
          <w:p>
            <w:pPr>
              <w:pStyle w:val="单元格样式2"/>
            </w:pPr>
            <w:r>
              <w:t xml:space="preserve">设备验收合格率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《关于深化安可替代工作政府采购有关事项的通知》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相关产品采购完成时限</w:t>
            </w:r>
          </w:p>
        </w:tc>
        <w:tc>
          <w:tcPr>
            <w:tcW w:w="3430" w:type="dxa"/>
            <w:hMerge w:val="restart"/>
            <w:vAlign w:val="center"/>
          </w:tcPr>
          <w:p>
            <w:pPr>
              <w:pStyle w:val="单元格样式2"/>
            </w:pPr>
            <w:r>
              <w:t xml:space="preserve">相关产品采购完成时限</w:t>
            </w:r>
          </w:p>
        </w:tc>
        <w:tc>
          <w:tcPr>
            <w:tcW w:w="0" w:type="auto"/>
            <w:hMerge/>
            <w:vAlign w:val="center"/>
          </w:tcPr>
          <w:p>
            <w:pPr/>
          </w:p>
        </w:tc>
        <w:tc>
          <w:tcPr>
            <w:tcW w:w="2551" w:type="dxa"/>
            <w:hMerge w:val="restart"/>
            <w:vAlign w:val="center"/>
          </w:tcPr>
          <w:p>
            <w:pPr>
              <w:pStyle w:val="单元格样式2"/>
            </w:pPr>
            <w:r>
              <w:t xml:space="preserve">2026年11月底前</w:t>
            </w:r>
          </w:p>
        </w:tc>
        <w:tc>
          <w:tcPr>
            <w:tcW w:w="0" w:type="auto"/>
            <w:hMerge/>
          </w:tcPr>
          <w:p>
            <w:pPr>
              <w:pStyle w:val="单元格样式2"/>
            </w:pPr>
            <w:r>
              <w:t xml:space="preserve">《关于深化安可替代工作政府采购有关事项的通知》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设备购置成本</w:t>
            </w:r>
          </w:p>
        </w:tc>
        <w:tc>
          <w:tcPr>
            <w:tcW w:w="3430" w:type="dxa"/>
            <w:hMerge w:val="restart"/>
            <w:vAlign w:val="center"/>
          </w:tcPr>
          <w:p>
            <w:pPr>
              <w:pStyle w:val="单元格样式2"/>
            </w:pPr>
            <w:r>
              <w:t xml:space="preserve">设备购置成本</w:t>
            </w:r>
          </w:p>
        </w:tc>
        <w:tc>
          <w:tcPr>
            <w:tcW w:w="0" w:type="auto"/>
            <w:hMerge/>
            <w:vAlign w:val="center"/>
          </w:tcPr>
          <w:p>
            <w:pPr/>
          </w:p>
        </w:tc>
        <w:tc>
          <w:tcPr>
            <w:tcW w:w="2551" w:type="dxa"/>
            <w:hMerge w:val="restart"/>
            <w:vAlign w:val="center"/>
          </w:tcPr>
          <w:p>
            <w:pPr>
              <w:pStyle w:val="单元格样式2"/>
            </w:pPr>
            <w:r>
              <w:t xml:space="preserve">≤12232.2元</w:t>
            </w:r>
          </w:p>
        </w:tc>
        <w:tc>
          <w:tcPr>
            <w:tcW w:w="0" w:type="auto"/>
            <w:hMerge/>
          </w:tcPr>
          <w:p>
            <w:pPr>
              <w:pStyle w:val="单元格样式2"/>
            </w:pPr>
            <w:r>
              <w:t xml:space="preserve">《关于深化安可替代工作政府采购有关事项的通知》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提高信息系统安全性</w:t>
            </w:r>
          </w:p>
        </w:tc>
        <w:tc>
          <w:tcPr>
            <w:tcW w:w="3430" w:type="dxa"/>
            <w:hMerge w:val="restart"/>
            <w:vAlign w:val="center"/>
          </w:tcPr>
          <w:p>
            <w:pPr>
              <w:pStyle w:val="单元格样式2"/>
            </w:pPr>
            <w:r>
              <w:t xml:space="preserve">提高信息系统安全性</w:t>
            </w:r>
          </w:p>
        </w:tc>
        <w:tc>
          <w:tcPr>
            <w:tcW w:w="0" w:type="auto"/>
            <w:hMerge/>
            <w:vAlign w:val="center"/>
          </w:tcPr>
          <w:p>
            <w:pPr/>
          </w:p>
        </w:tc>
        <w:tc>
          <w:tcPr>
            <w:tcW w:w="2551" w:type="dxa"/>
            <w:hMerge w:val="restart"/>
            <w:vAlign w:val="center"/>
          </w:tcPr>
          <w:p>
            <w:pPr>
              <w:pStyle w:val="单元格样式2"/>
            </w:pPr>
            <w:r>
              <w:t xml:space="preserve">不断提高</w:t>
            </w:r>
          </w:p>
        </w:tc>
        <w:tc>
          <w:tcPr>
            <w:tcW w:w="0" w:type="auto"/>
            <w:hMerge/>
          </w:tcPr>
          <w:p>
            <w:pPr>
              <w:pStyle w:val="单元格样式2"/>
            </w:pPr>
            <w:r>
              <w:t xml:space="preserve">《关于深化安可替代工作政府采购有关事项的通知》</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员工对相关设备使用满意度</w:t>
            </w:r>
          </w:p>
        </w:tc>
        <w:tc>
          <w:tcPr>
            <w:tcW w:w="3430" w:type="dxa"/>
            <w:hMerge w:val="restart"/>
            <w:vAlign w:val="center"/>
          </w:tcPr>
          <w:p>
            <w:pPr>
              <w:pStyle w:val="单元格样式2"/>
            </w:pPr>
            <w:r>
              <w:t xml:space="preserve">员工对相关设备使用满意度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《关于深化安可替代工作政府采购有关事项的通知》</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4.2026年知识产权快速协同保护专项——保护中心专项业务费绩效目标表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610201天津市滨海新区知识产权保护中心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2026年知识产权快速协同保护专项——保护中心专项业务费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1458100.00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1458100.00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支付楼内物业费，每年电费，采暖费，每年房租等。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物业管理，改善工作环境，保障正常业务开展；通过支付2026年电费，保障办公区域照明、电脑、办公用电设备，机房，中央空调以及各功能用房的正常运行；通过按期支付采暖费使室内温度达标，保障正常办公，确保保护中心正常运行；通过租赁办公用房，保障办公场所固定稳定，提高新区知识产权工作效率、服务质量。</w:t>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物业管理服务面积</w:t>
            </w:r>
          </w:p>
        </w:tc>
        <w:tc>
          <w:tcPr>
            <w:tcW w:w="3430" w:type="dxa"/>
            <w:hMerge w:val="restart"/>
            <w:vAlign w:val="center"/>
          </w:tcPr>
          <w:p>
            <w:pPr>
              <w:pStyle w:val="单元格样式2"/>
            </w:pPr>
            <w:r>
              <w:t xml:space="preserve">物业管理服务面积</w:t>
            </w:r>
          </w:p>
        </w:tc>
        <w:tc>
          <w:tcPr>
            <w:tcW w:w="0" w:type="auto"/>
            <w:hMerge/>
            <w:vAlign w:val="center"/>
          </w:tcPr>
          <w:p>
            <w:pPr/>
          </w:p>
        </w:tc>
        <w:tc>
          <w:tcPr>
            <w:tcW w:w="2551" w:type="dxa"/>
            <w:hMerge w:val="restart"/>
            <w:vAlign w:val="center"/>
          </w:tcPr>
          <w:p>
            <w:pPr>
              <w:pStyle w:val="单元格样式2"/>
            </w:pPr>
            <w:r>
              <w:t xml:space="preserve">≥3055.65平方米</w:t>
            </w:r>
          </w:p>
        </w:tc>
        <w:tc>
          <w:tcPr>
            <w:tcW w:w="0" w:type="auto"/>
            <w:hMerge/>
          </w:tcPr>
          <w:p>
            <w:pPr>
              <w:pStyle w:val="单元格样式2"/>
            </w:pPr>
            <w:r>
              <w:t xml:space="preserve">物业合同</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耗电量</w:t>
            </w:r>
          </w:p>
        </w:tc>
        <w:tc>
          <w:tcPr>
            <w:tcW w:w="3430" w:type="dxa"/>
            <w:hMerge w:val="restart"/>
            <w:vAlign w:val="center"/>
          </w:tcPr>
          <w:p>
            <w:pPr>
              <w:pStyle w:val="单元格样式2"/>
            </w:pPr>
            <w:r>
              <w:t xml:space="preserve">耗电量</w:t>
            </w:r>
          </w:p>
        </w:tc>
        <w:tc>
          <w:tcPr>
            <w:tcW w:w="0" w:type="auto"/>
            <w:hMerge/>
            <w:vAlign w:val="center"/>
          </w:tcPr>
          <w:p>
            <w:pPr/>
          </w:p>
        </w:tc>
        <w:tc>
          <w:tcPr>
            <w:tcW w:w="2551" w:type="dxa"/>
            <w:hMerge w:val="restart"/>
            <w:vAlign w:val="center"/>
          </w:tcPr>
          <w:p>
            <w:pPr>
              <w:pStyle w:val="单元格样式2"/>
            </w:pPr>
            <w:r>
              <w:t xml:space="preserve">≥150000度</w:t>
            </w:r>
          </w:p>
        </w:tc>
        <w:tc>
          <w:tcPr>
            <w:tcW w:w="0" w:type="auto"/>
            <w:hMerge/>
          </w:tcPr>
          <w:p>
            <w:pPr>
              <w:pStyle w:val="单元格样式2"/>
            </w:pPr>
            <w:r>
              <w:t xml:space="preserve">市发展改革委关于进一步明确转供电环节价格政策的通知</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供热计费面积</w:t>
            </w:r>
          </w:p>
        </w:tc>
        <w:tc>
          <w:tcPr>
            <w:tcW w:w="3430" w:type="dxa"/>
            <w:hMerge w:val="restart"/>
            <w:vAlign w:val="center"/>
          </w:tcPr>
          <w:p>
            <w:pPr>
              <w:pStyle w:val="单元格样式2"/>
            </w:pPr>
            <w:r>
              <w:t xml:space="preserve">供热计费面积</w:t>
            </w:r>
          </w:p>
        </w:tc>
        <w:tc>
          <w:tcPr>
            <w:tcW w:w="0" w:type="auto"/>
            <w:hMerge/>
            <w:vAlign w:val="center"/>
          </w:tcPr>
          <w:p>
            <w:pPr/>
          </w:p>
        </w:tc>
        <w:tc>
          <w:tcPr>
            <w:tcW w:w="2551" w:type="dxa"/>
            <w:hMerge w:val="restart"/>
            <w:vAlign w:val="center"/>
          </w:tcPr>
          <w:p>
            <w:pPr>
              <w:pStyle w:val="单元格样式2"/>
            </w:pPr>
            <w:r>
              <w:t xml:space="preserve">≥3632.16平方米</w:t>
            </w:r>
          </w:p>
        </w:tc>
        <w:tc>
          <w:tcPr>
            <w:tcW w:w="0" w:type="auto"/>
            <w:hMerge/>
          </w:tcPr>
          <w:p>
            <w:pPr>
              <w:pStyle w:val="单元格样式2"/>
            </w:pPr>
            <w:r>
              <w:t xml:space="preserve">天津市供热采暖收费管理办法</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房屋租用面积</w:t>
            </w:r>
          </w:p>
        </w:tc>
        <w:tc>
          <w:tcPr>
            <w:tcW w:w="3430" w:type="dxa"/>
            <w:hMerge w:val="restart"/>
            <w:vAlign w:val="center"/>
          </w:tcPr>
          <w:p>
            <w:pPr>
              <w:pStyle w:val="单元格样式2"/>
            </w:pPr>
            <w:r>
              <w:t xml:space="preserve">房屋租用面积</w:t>
            </w:r>
          </w:p>
        </w:tc>
        <w:tc>
          <w:tcPr>
            <w:tcW w:w="0" w:type="auto"/>
            <w:hMerge/>
            <w:vAlign w:val="center"/>
          </w:tcPr>
          <w:p>
            <w:pPr/>
          </w:p>
        </w:tc>
        <w:tc>
          <w:tcPr>
            <w:tcW w:w="2551" w:type="dxa"/>
            <w:hMerge w:val="restart"/>
            <w:vAlign w:val="center"/>
          </w:tcPr>
          <w:p>
            <w:pPr>
              <w:pStyle w:val="单元格样式2"/>
            </w:pPr>
            <w:r>
              <w:t xml:space="preserve">≥3055.65平方米</w:t>
            </w:r>
          </w:p>
        </w:tc>
        <w:tc>
          <w:tcPr>
            <w:tcW w:w="0" w:type="auto"/>
            <w:hMerge/>
          </w:tcPr>
          <w:p>
            <w:pPr>
              <w:pStyle w:val="单元格样式2"/>
            </w:pPr>
            <w:r>
              <w:t xml:space="preserve">房屋租赁合同</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保洁达标率</w:t>
            </w:r>
          </w:p>
        </w:tc>
        <w:tc>
          <w:tcPr>
            <w:tcW w:w="3430" w:type="dxa"/>
            <w:hMerge w:val="restart"/>
            <w:vAlign w:val="center"/>
          </w:tcPr>
          <w:p>
            <w:pPr>
              <w:pStyle w:val="单元格样式2"/>
            </w:pPr>
            <w:r>
              <w:t xml:space="preserve">保洁达标率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物业合同</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用电设备正常运转率</w:t>
            </w:r>
          </w:p>
        </w:tc>
        <w:tc>
          <w:tcPr>
            <w:tcW w:w="3430" w:type="dxa"/>
            <w:hMerge w:val="restart"/>
            <w:vAlign w:val="center"/>
          </w:tcPr>
          <w:p>
            <w:pPr>
              <w:pStyle w:val="单元格样式2"/>
            </w:pPr>
            <w:r>
              <w:t xml:space="preserve">用电设备正常运转率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市发展改革委关于进一步明确转供电环节价格政策的通知</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室内温度</w:t>
            </w:r>
          </w:p>
        </w:tc>
        <w:tc>
          <w:tcPr>
            <w:tcW w:w="3430" w:type="dxa"/>
            <w:hMerge w:val="restart"/>
            <w:vAlign w:val="center"/>
          </w:tcPr>
          <w:p>
            <w:pPr>
              <w:pStyle w:val="单元格样式2"/>
            </w:pPr>
            <w:r>
              <w:t xml:space="preserve">室内温度</w:t>
            </w:r>
          </w:p>
        </w:tc>
        <w:tc>
          <w:tcPr>
            <w:tcW w:w="0" w:type="auto"/>
            <w:hMerge/>
            <w:vAlign w:val="center"/>
          </w:tcPr>
          <w:p>
            <w:pPr/>
          </w:p>
        </w:tc>
        <w:tc>
          <w:tcPr>
            <w:tcW w:w="2551" w:type="dxa"/>
            <w:hMerge w:val="restart"/>
            <w:vAlign w:val="center"/>
          </w:tcPr>
          <w:p>
            <w:pPr>
              <w:pStyle w:val="单元格样式2"/>
            </w:pPr>
            <w:r>
              <w:t xml:space="preserve">≥18度</w:t>
            </w:r>
          </w:p>
        </w:tc>
        <w:tc>
          <w:tcPr>
            <w:tcW w:w="0" w:type="auto"/>
            <w:hMerge/>
          </w:tcPr>
          <w:p>
            <w:pPr>
              <w:pStyle w:val="单元格样式2"/>
            </w:pPr>
            <w:r>
              <w:t xml:space="preserve">天津市供热采暖收费管理办法</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房屋使用率</w:t>
            </w:r>
          </w:p>
        </w:tc>
        <w:tc>
          <w:tcPr>
            <w:tcW w:w="3430" w:type="dxa"/>
            <w:hMerge w:val="restart"/>
            <w:vAlign w:val="center"/>
          </w:tcPr>
          <w:p>
            <w:pPr>
              <w:pStyle w:val="单元格样式2"/>
            </w:pPr>
            <w:r>
              <w:t xml:space="preserve">房屋使用率</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r>
              <w:t xml:space="preserve">房屋租赁合同</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物业费支付完成时间</w:t>
            </w:r>
          </w:p>
        </w:tc>
        <w:tc>
          <w:tcPr>
            <w:tcW w:w="3430" w:type="dxa"/>
            <w:hMerge w:val="restart"/>
            <w:vAlign w:val="center"/>
          </w:tcPr>
          <w:p>
            <w:pPr>
              <w:pStyle w:val="单元格样式2"/>
            </w:pPr>
            <w:r>
              <w:t xml:space="preserve">物业费支付完成时间</w:t>
            </w:r>
          </w:p>
        </w:tc>
        <w:tc>
          <w:tcPr>
            <w:tcW w:w="0" w:type="auto"/>
            <w:hMerge/>
            <w:vAlign w:val="center"/>
          </w:tcPr>
          <w:p>
            <w:pPr/>
          </w:p>
        </w:tc>
        <w:tc>
          <w:tcPr>
            <w:tcW w:w="2551" w:type="dxa"/>
            <w:hMerge w:val="restart"/>
            <w:vAlign w:val="center"/>
          </w:tcPr>
          <w:p>
            <w:pPr>
              <w:pStyle w:val="单元格样式2"/>
            </w:pPr>
            <w:r>
              <w:t xml:space="preserve">2026年12月底前完成</w:t>
            </w:r>
          </w:p>
        </w:tc>
        <w:tc>
          <w:tcPr>
            <w:tcW w:w="0" w:type="auto"/>
            <w:hMerge/>
          </w:tcPr>
          <w:p>
            <w:pPr>
              <w:pStyle w:val="单元格样式2"/>
            </w:pPr>
            <w:r>
              <w:t xml:space="preserve">物业合同</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电费支付完成时间</w:t>
            </w:r>
          </w:p>
        </w:tc>
        <w:tc>
          <w:tcPr>
            <w:tcW w:w="3430" w:type="dxa"/>
            <w:hMerge w:val="restart"/>
            <w:vAlign w:val="center"/>
          </w:tcPr>
          <w:p>
            <w:pPr>
              <w:pStyle w:val="单元格样式2"/>
            </w:pPr>
            <w:r>
              <w:t xml:space="preserve">电费支付完成时间</w:t>
            </w:r>
          </w:p>
        </w:tc>
        <w:tc>
          <w:tcPr>
            <w:tcW w:w="0" w:type="auto"/>
            <w:hMerge/>
            <w:vAlign w:val="center"/>
          </w:tcPr>
          <w:p>
            <w:pPr/>
          </w:p>
        </w:tc>
        <w:tc>
          <w:tcPr>
            <w:tcW w:w="2551" w:type="dxa"/>
            <w:hMerge w:val="restart"/>
            <w:vAlign w:val="center"/>
          </w:tcPr>
          <w:p>
            <w:pPr>
              <w:pStyle w:val="单元格样式2"/>
            </w:pPr>
            <w:r>
              <w:t xml:space="preserve">2026年12月底前完成</w:t>
            </w:r>
          </w:p>
        </w:tc>
        <w:tc>
          <w:tcPr>
            <w:tcW w:w="0" w:type="auto"/>
            <w:hMerge/>
          </w:tcPr>
          <w:p>
            <w:pPr>
              <w:pStyle w:val="单元格样式2"/>
            </w:pPr>
            <w:r>
              <w:t xml:space="preserve">市发展改革委关于进一步明确转供电环节价格政策的通知</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采暖费支付完成时间</w:t>
            </w:r>
          </w:p>
        </w:tc>
        <w:tc>
          <w:tcPr>
            <w:tcW w:w="3430" w:type="dxa"/>
            <w:hMerge w:val="restart"/>
            <w:vAlign w:val="center"/>
          </w:tcPr>
          <w:p>
            <w:pPr>
              <w:pStyle w:val="单元格样式2"/>
            </w:pPr>
            <w:r>
              <w:t xml:space="preserve">采暖费支付完成时间</w:t>
            </w:r>
          </w:p>
        </w:tc>
        <w:tc>
          <w:tcPr>
            <w:tcW w:w="0" w:type="auto"/>
            <w:hMerge/>
            <w:vAlign w:val="center"/>
          </w:tcPr>
          <w:p>
            <w:pPr/>
          </w:p>
        </w:tc>
        <w:tc>
          <w:tcPr>
            <w:tcW w:w="2551" w:type="dxa"/>
            <w:hMerge w:val="restart"/>
            <w:vAlign w:val="center"/>
          </w:tcPr>
          <w:p>
            <w:pPr>
              <w:pStyle w:val="单元格样式2"/>
            </w:pPr>
            <w:r>
              <w:t xml:space="preserve">2026年12月底前完成</w:t>
            </w:r>
          </w:p>
        </w:tc>
        <w:tc>
          <w:tcPr>
            <w:tcW w:w="0" w:type="auto"/>
            <w:hMerge/>
          </w:tcPr>
          <w:p>
            <w:pPr>
              <w:pStyle w:val="单元格样式2"/>
            </w:pPr>
            <w:r>
              <w:t xml:space="preserve">天津市供热采暖收费管理办法</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房屋租赁费支付完成时间</w:t>
            </w:r>
          </w:p>
        </w:tc>
        <w:tc>
          <w:tcPr>
            <w:tcW w:w="3430" w:type="dxa"/>
            <w:hMerge w:val="restart"/>
            <w:vAlign w:val="center"/>
          </w:tcPr>
          <w:p>
            <w:pPr>
              <w:pStyle w:val="单元格样式2"/>
            </w:pPr>
            <w:r>
              <w:t xml:space="preserve">房屋租赁费支付完成时间</w:t>
            </w:r>
          </w:p>
        </w:tc>
        <w:tc>
          <w:tcPr>
            <w:tcW w:w="0" w:type="auto"/>
            <w:hMerge/>
            <w:vAlign w:val="center"/>
          </w:tcPr>
          <w:p>
            <w:pPr/>
          </w:p>
        </w:tc>
        <w:tc>
          <w:tcPr>
            <w:tcW w:w="2551" w:type="dxa"/>
            <w:hMerge w:val="restart"/>
            <w:vAlign w:val="center"/>
          </w:tcPr>
          <w:p>
            <w:pPr>
              <w:pStyle w:val="单元格样式2"/>
            </w:pPr>
            <w:r>
              <w:t xml:space="preserve">2026年12月底前完成</w:t>
            </w:r>
          </w:p>
        </w:tc>
        <w:tc>
          <w:tcPr>
            <w:tcW w:w="0" w:type="auto"/>
            <w:hMerge/>
          </w:tcPr>
          <w:p>
            <w:pPr>
              <w:pStyle w:val="单元格样式2"/>
            </w:pPr>
            <w:r>
              <w:t xml:space="preserve">房屋租赁合同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每季度物业费</w:t>
            </w:r>
          </w:p>
        </w:tc>
        <w:tc>
          <w:tcPr>
            <w:tcW w:w="3430" w:type="dxa"/>
            <w:hMerge w:val="restart"/>
            <w:vAlign w:val="center"/>
          </w:tcPr>
          <w:p>
            <w:pPr>
              <w:pStyle w:val="单元格样式2"/>
            </w:pPr>
            <w:r>
              <w:t xml:space="preserve">每季度物业费</w:t>
            </w:r>
          </w:p>
        </w:tc>
        <w:tc>
          <w:tcPr>
            <w:tcW w:w="0" w:type="auto"/>
            <w:hMerge/>
            <w:vAlign w:val="center"/>
          </w:tcPr>
          <w:p>
            <w:pPr/>
          </w:p>
        </w:tc>
        <w:tc>
          <w:tcPr>
            <w:tcW w:w="2551" w:type="dxa"/>
            <w:hMerge w:val="restart"/>
            <w:vAlign w:val="center"/>
          </w:tcPr>
          <w:p>
            <w:pPr>
              <w:pStyle w:val="单元格样式2"/>
            </w:pPr>
            <w:r>
              <w:t xml:space="preserve">≤65700元</w:t>
            </w:r>
          </w:p>
        </w:tc>
        <w:tc>
          <w:tcPr>
            <w:tcW w:w="0" w:type="auto"/>
            <w:hMerge/>
          </w:tcPr>
          <w:p>
            <w:pPr>
              <w:pStyle w:val="单元格样式2"/>
            </w:pPr>
            <w:r>
              <w:t xml:space="preserve">物业合同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每度电费用</w:t>
            </w:r>
          </w:p>
        </w:tc>
        <w:tc>
          <w:tcPr>
            <w:tcW w:w="3430" w:type="dxa"/>
            <w:hMerge w:val="restart"/>
            <w:vAlign w:val="center"/>
          </w:tcPr>
          <w:p>
            <w:pPr>
              <w:pStyle w:val="单元格样式2"/>
            </w:pPr>
            <w:r>
              <w:t xml:space="preserve">每度电费用</w:t>
            </w:r>
          </w:p>
        </w:tc>
        <w:tc>
          <w:tcPr>
            <w:tcW w:w="0" w:type="auto"/>
            <w:hMerge/>
            <w:vAlign w:val="center"/>
          </w:tcPr>
          <w:p>
            <w:pPr/>
          </w:p>
        </w:tc>
        <w:tc>
          <w:tcPr>
            <w:tcW w:w="2551" w:type="dxa"/>
            <w:hMerge w:val="restart"/>
            <w:vAlign w:val="center"/>
          </w:tcPr>
          <w:p>
            <w:pPr>
              <w:pStyle w:val="单元格样式2"/>
            </w:pPr>
            <w:r>
              <w:t xml:space="preserve">≤1元</w:t>
            </w:r>
          </w:p>
        </w:tc>
        <w:tc>
          <w:tcPr>
            <w:tcW w:w="0" w:type="auto"/>
            <w:hMerge/>
          </w:tcPr>
          <w:p>
            <w:pPr>
              <w:pStyle w:val="单元格样式2"/>
            </w:pPr>
            <w:r>
              <w:t xml:space="preserve">市发展改革委关于进一步明确转供电环节价格政策的通知</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每平方米采暖费</w:t>
            </w:r>
          </w:p>
        </w:tc>
        <w:tc>
          <w:tcPr>
            <w:tcW w:w="3430" w:type="dxa"/>
            <w:hMerge w:val="restart"/>
            <w:vAlign w:val="center"/>
          </w:tcPr>
          <w:p>
            <w:pPr>
              <w:pStyle w:val="单元格样式2"/>
            </w:pPr>
            <w:r>
              <w:t xml:space="preserve">每平方米采暖费</w:t>
            </w:r>
          </w:p>
        </w:tc>
        <w:tc>
          <w:tcPr>
            <w:tcW w:w="0" w:type="auto"/>
            <w:hMerge/>
            <w:vAlign w:val="center"/>
          </w:tcPr>
          <w:p>
            <w:pPr/>
          </w:p>
        </w:tc>
        <w:tc>
          <w:tcPr>
            <w:tcW w:w="2551" w:type="dxa"/>
            <w:hMerge w:val="restart"/>
            <w:vAlign w:val="center"/>
          </w:tcPr>
          <w:p>
            <w:pPr>
              <w:pStyle w:val="单元格样式2"/>
            </w:pPr>
            <w:r>
              <w:t xml:space="preserve">≤40元</w:t>
            </w:r>
          </w:p>
        </w:tc>
        <w:tc>
          <w:tcPr>
            <w:tcW w:w="0" w:type="auto"/>
            <w:hMerge/>
          </w:tcPr>
          <w:p>
            <w:pPr>
              <w:pStyle w:val="单元格样式2"/>
            </w:pPr>
            <w:r>
              <w:t xml:space="preserve">天津市供热采暖收费管理办法</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每月房屋租赁费</w:t>
            </w:r>
          </w:p>
        </w:tc>
        <w:tc>
          <w:tcPr>
            <w:tcW w:w="3430" w:type="dxa"/>
            <w:hMerge w:val="restart"/>
            <w:vAlign w:val="center"/>
          </w:tcPr>
          <w:p>
            <w:pPr>
              <w:pStyle w:val="单元格样式2"/>
            </w:pPr>
            <w:r>
              <w:t xml:space="preserve">每月房屋租赁费</w:t>
            </w:r>
          </w:p>
        </w:tc>
        <w:tc>
          <w:tcPr>
            <w:tcW w:w="0" w:type="auto"/>
            <w:hMerge/>
            <w:vAlign w:val="center"/>
          </w:tcPr>
          <w:p>
            <w:pPr/>
          </w:p>
        </w:tc>
        <w:tc>
          <w:tcPr>
            <w:tcW w:w="2551" w:type="dxa"/>
            <w:hMerge w:val="restart"/>
            <w:vAlign w:val="center"/>
          </w:tcPr>
          <w:p>
            <w:pPr>
              <w:pStyle w:val="单元格样式2"/>
            </w:pPr>
            <w:r>
              <w:t xml:space="preserve">≤75000元</w:t>
            </w:r>
          </w:p>
        </w:tc>
        <w:tc>
          <w:tcPr>
            <w:tcW w:w="0" w:type="auto"/>
            <w:hMerge/>
          </w:tcPr>
          <w:p>
            <w:pPr>
              <w:pStyle w:val="单元格样式2"/>
            </w:pPr>
            <w:r>
              <w:t xml:space="preserve">房屋租赁合同</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提高知识产权服务质量</w:t>
            </w:r>
          </w:p>
        </w:tc>
        <w:tc>
          <w:tcPr>
            <w:tcW w:w="3430" w:type="dxa"/>
            <w:hMerge w:val="restart"/>
            <w:vAlign w:val="center"/>
          </w:tcPr>
          <w:p>
            <w:pPr>
              <w:pStyle w:val="单元格样式2"/>
            </w:pPr>
            <w:r>
              <w:t xml:space="preserve">提高知识产权服务质量</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r>
              <w:t xml:space="preserve">物业合同、市发展改革委关于进一步明确转供电环节价格政策的通知、天津市供热采暖收费管理办法、房屋租赁合同</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知识产权服务企业满意度</w:t>
            </w:r>
          </w:p>
        </w:tc>
        <w:tc>
          <w:tcPr>
            <w:tcW w:w="3430" w:type="dxa"/>
            <w:hMerge w:val="restart"/>
            <w:vAlign w:val="center"/>
          </w:tcPr>
          <w:p>
            <w:pPr>
              <w:pStyle w:val="单元格样式2"/>
            </w:pPr>
            <w:r>
              <w:t xml:space="preserve">知识产权服务企业满意度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r>
              <w:t xml:space="preserve">物业合同、市发展改革委关于进一步明确转供电环节价格政策的通知、天津市供热采暖收费管理办法、房屋租赁合同</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sz w:val="28"/>
        </w:rPr>
        <w:t xml:space="preserve">5.2026年知识产权快速协同保护专项——数据库账号采购费绩效目标表</w:t>
      </w:r>
      <w:bookmarkEnd w:id="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610201天津市滨海新区知识产权保护中心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2026年知识产权快速协同保护专项——数据库账号采购费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支付数据库账号采购费用等。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1.通过专利数据库实现数据检索和分析，保障本区域内高端装备制造、生物医药、新能源产业和企业专利导航工作开展，提高知识产权工作效率、服务质量。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新增专利数据库使用账号</w:t>
            </w:r>
          </w:p>
        </w:tc>
        <w:tc>
          <w:tcPr>
            <w:tcW w:w="3430" w:type="dxa"/>
            <w:hMerge w:val="restart"/>
            <w:vAlign w:val="center"/>
          </w:tcPr>
          <w:p>
            <w:pPr>
              <w:pStyle w:val="单元格样式2"/>
            </w:pPr>
            <w:r>
              <w:t xml:space="preserve">新增专利数据库使用账号</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r>
              <w:t xml:space="preserve">数据库公司报价方案</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数据检索分析功能实现率</w:t>
            </w:r>
          </w:p>
        </w:tc>
        <w:tc>
          <w:tcPr>
            <w:tcW w:w="3430" w:type="dxa"/>
            <w:hMerge w:val="restart"/>
            <w:vAlign w:val="center"/>
          </w:tcPr>
          <w:p>
            <w:pPr>
              <w:pStyle w:val="单元格样式2"/>
            </w:pPr>
            <w:r>
              <w:t xml:space="preserve">数据检索分析功能实现率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r>
              <w:t xml:space="preserve">数据库公司报价方案</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新增专利数据库账号采购完成时间</w:t>
            </w:r>
          </w:p>
        </w:tc>
        <w:tc>
          <w:tcPr>
            <w:tcW w:w="3430" w:type="dxa"/>
            <w:hMerge w:val="restart"/>
            <w:vAlign w:val="center"/>
          </w:tcPr>
          <w:p>
            <w:pPr>
              <w:pStyle w:val="单元格样式2"/>
            </w:pPr>
            <w:r>
              <w:t xml:space="preserve">新增专利数据库账号采购完成时间</w:t>
            </w:r>
          </w:p>
        </w:tc>
        <w:tc>
          <w:tcPr>
            <w:tcW w:w="0" w:type="auto"/>
            <w:hMerge/>
            <w:vAlign w:val="center"/>
          </w:tcPr>
          <w:p>
            <w:pPr/>
          </w:p>
        </w:tc>
        <w:tc>
          <w:tcPr>
            <w:tcW w:w="2551" w:type="dxa"/>
            <w:hMerge w:val="restart"/>
            <w:vAlign w:val="center"/>
          </w:tcPr>
          <w:p>
            <w:pPr>
              <w:pStyle w:val="单元格样式2"/>
            </w:pPr>
            <w:r>
              <w:t xml:space="preserve">2026年12月底前完成</w:t>
            </w:r>
          </w:p>
        </w:tc>
        <w:tc>
          <w:tcPr>
            <w:tcW w:w="0" w:type="auto"/>
            <w:hMerge/>
          </w:tcPr>
          <w:p>
            <w:pPr>
              <w:pStyle w:val="单元格样式2"/>
            </w:pPr>
            <w:r>
              <w:t xml:space="preserve">数据库公司报价方案</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专利数据库账号成本</w:t>
            </w:r>
          </w:p>
        </w:tc>
        <w:tc>
          <w:tcPr>
            <w:tcW w:w="3430" w:type="dxa"/>
            <w:hMerge w:val="restart"/>
            <w:vAlign w:val="center"/>
          </w:tcPr>
          <w:p>
            <w:pPr>
              <w:pStyle w:val="单元格样式2"/>
            </w:pPr>
            <w:r>
              <w:t xml:space="preserve">专利数据库账号成本</w:t>
            </w:r>
          </w:p>
        </w:tc>
        <w:tc>
          <w:tcPr>
            <w:tcW w:w="0" w:type="auto"/>
            <w:hMerge/>
            <w:vAlign w:val="center"/>
          </w:tcPr>
          <w:p>
            <w:pPr/>
          </w:p>
        </w:tc>
        <w:tc>
          <w:tcPr>
            <w:tcW w:w="2551" w:type="dxa"/>
            <w:hMerge w:val="restart"/>
            <w:vAlign w:val="center"/>
          </w:tcPr>
          <w:p>
            <w:pPr>
              <w:pStyle w:val="单元格样式2"/>
            </w:pPr>
            <w:r>
              <w:t xml:space="preserve">≤5万元</w:t>
            </w:r>
          </w:p>
        </w:tc>
        <w:tc>
          <w:tcPr>
            <w:tcW w:w="0" w:type="auto"/>
            <w:hMerge/>
          </w:tcPr>
          <w:p>
            <w:pPr>
              <w:pStyle w:val="单元格样式2"/>
            </w:pPr>
            <w:r>
              <w:t xml:space="preserve">数据库公司报价方案</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提高知识产权服务质量</w:t>
            </w:r>
          </w:p>
        </w:tc>
        <w:tc>
          <w:tcPr>
            <w:tcW w:w="3430" w:type="dxa"/>
            <w:hMerge w:val="restart"/>
            <w:vAlign w:val="center"/>
          </w:tcPr>
          <w:p>
            <w:pPr>
              <w:pStyle w:val="单元格样式2"/>
            </w:pPr>
            <w:r>
              <w:t xml:space="preserve">提高知识产权服务质量</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r>
              <w:t xml:space="preserve">数据库公司报价方案</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知识产权服务企业满意度</w:t>
            </w:r>
          </w:p>
        </w:tc>
        <w:tc>
          <w:tcPr>
            <w:tcW w:w="3430" w:type="dxa"/>
            <w:hMerge w:val="restart"/>
            <w:vAlign w:val="center"/>
          </w:tcPr>
          <w:p>
            <w:pPr>
              <w:pStyle w:val="单元格样式2"/>
            </w:pPr>
            <w:r>
              <w:t xml:space="preserve">知识产权服务企业满意度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r>
              <w:t xml:space="preserve">数据库公司报价方案</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sz w:val="28"/>
        </w:rPr>
        <w:t xml:space="preserve">6.2026年知识产权快速协同保护专项——知识产权服务平台运行经费绩效目标表</w:t>
      </w:r>
      <w:bookmarkEnd w:id="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610201天津市滨海新区知识产权保护中心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2026年知识产权快速协同保护专项——知识产权服务平台运行经费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441900.00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441900.00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支付网费、政务网租用费用、预审系统运维费、科普教育基地内容更新费用等。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连接国家局专网，开通国家局专利智能检索及分析系统网路，保障专利预审检索工作开展；通过更新滨海新区知识产权科普教育基地展示内容，提高滨海新区社会大众知识产权保护意识；通过维护预审服务平台数据，保障预审平台正常运行；通过开展信息化安全等级保护测评，保障系统安全可靠；通过改造知识产权数据登记平台实现与国家局接口对接。</w:t>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网络、宽带开通线路数量</w:t>
            </w:r>
          </w:p>
        </w:tc>
        <w:tc>
          <w:tcPr>
            <w:tcW w:w="3430" w:type="dxa"/>
            <w:hMerge w:val="restart"/>
            <w:vAlign w:val="center"/>
          </w:tcPr>
          <w:p>
            <w:pPr>
              <w:pStyle w:val="单元格样式2"/>
            </w:pPr>
            <w:r>
              <w:t xml:space="preserve">网络、宽带开通线路数量</w:t>
            </w:r>
          </w:p>
        </w:tc>
        <w:tc>
          <w:tcPr>
            <w:tcW w:w="0" w:type="auto"/>
            <w:hMerge/>
            <w:vAlign w:val="center"/>
          </w:tcPr>
          <w:p>
            <w:pPr/>
          </w:p>
        </w:tc>
        <w:tc>
          <w:tcPr>
            <w:tcW w:w="2551" w:type="dxa"/>
            <w:hMerge w:val="restart"/>
            <w:vAlign w:val="center"/>
          </w:tcPr>
          <w:p>
            <w:pPr>
              <w:pStyle w:val="单元格样式2"/>
            </w:pPr>
            <w:r>
              <w:t xml:space="preserve">≥2条</w:t>
            </w:r>
          </w:p>
        </w:tc>
        <w:tc>
          <w:tcPr>
            <w:tcW w:w="0" w:type="auto"/>
            <w:hMerge/>
          </w:tcPr>
          <w:p>
            <w:pPr>
              <w:pStyle w:val="单元格样式2"/>
            </w:pPr>
            <w:r>
              <w:t xml:space="preserve">网络租用合同</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政务网租用线路数量</w:t>
            </w:r>
          </w:p>
        </w:tc>
        <w:tc>
          <w:tcPr>
            <w:tcW w:w="3430" w:type="dxa"/>
            <w:hMerge w:val="restart"/>
            <w:vAlign w:val="center"/>
          </w:tcPr>
          <w:p>
            <w:pPr>
              <w:pStyle w:val="单元格样式2"/>
            </w:pPr>
            <w:r>
              <w:t xml:space="preserve">政务网租用线路数量</w:t>
            </w:r>
          </w:p>
        </w:tc>
        <w:tc>
          <w:tcPr>
            <w:tcW w:w="0" w:type="auto"/>
            <w:hMerge/>
            <w:vAlign w:val="center"/>
          </w:tcPr>
          <w:p>
            <w:pPr/>
          </w:p>
        </w:tc>
        <w:tc>
          <w:tcPr>
            <w:tcW w:w="2551" w:type="dxa"/>
            <w:hMerge w:val="restart"/>
            <w:vAlign w:val="center"/>
          </w:tcPr>
          <w:p>
            <w:pPr>
              <w:pStyle w:val="单元格样式2"/>
            </w:pPr>
            <w:r>
              <w:t xml:space="preserve">≥1条</w:t>
            </w:r>
          </w:p>
        </w:tc>
        <w:tc>
          <w:tcPr>
            <w:tcW w:w="0" w:type="auto"/>
            <w:hMerge/>
          </w:tcPr>
          <w:p>
            <w:pPr>
              <w:pStyle w:val="单元格样式2"/>
            </w:pPr>
            <w:r>
              <w:t xml:space="preserve">网络租用合同</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科普教育基地展示内容更新数量</w:t>
            </w:r>
          </w:p>
        </w:tc>
        <w:tc>
          <w:tcPr>
            <w:tcW w:w="3430" w:type="dxa"/>
            <w:hMerge w:val="restart"/>
            <w:vAlign w:val="center"/>
          </w:tcPr>
          <w:p>
            <w:pPr>
              <w:pStyle w:val="单元格样式2"/>
            </w:pPr>
            <w:r>
              <w:t xml:space="preserve">科普教育基地展示内容更新数量</w:t>
            </w:r>
          </w:p>
        </w:tc>
        <w:tc>
          <w:tcPr>
            <w:tcW w:w="0" w:type="auto"/>
            <w:hMerge/>
            <w:vAlign w:val="center"/>
          </w:tcPr>
          <w:p>
            <w:pPr/>
          </w:p>
        </w:tc>
        <w:tc>
          <w:tcPr>
            <w:tcW w:w="2551" w:type="dxa"/>
            <w:hMerge w:val="restart"/>
            <w:vAlign w:val="center"/>
          </w:tcPr>
          <w:p>
            <w:pPr>
              <w:pStyle w:val="单元格样式2"/>
            </w:pPr>
            <w:r>
              <w:t xml:space="preserve">≥5个</w:t>
            </w:r>
          </w:p>
        </w:tc>
        <w:tc>
          <w:tcPr>
            <w:tcW w:w="0" w:type="auto"/>
            <w:hMerge/>
          </w:tcPr>
          <w:p>
            <w:pPr>
              <w:pStyle w:val="单元格样式2"/>
            </w:pPr>
            <w:r>
              <w:t xml:space="preserve">滨海新区知识产权科普教育基地项目采购项目合同</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预审系统数量</w:t>
            </w:r>
          </w:p>
        </w:tc>
        <w:tc>
          <w:tcPr>
            <w:tcW w:w="3430" w:type="dxa"/>
            <w:hMerge w:val="restart"/>
            <w:vAlign w:val="center"/>
          </w:tcPr>
          <w:p>
            <w:pPr>
              <w:pStyle w:val="单元格样式2"/>
            </w:pPr>
            <w:r>
              <w:t xml:space="preserve">预审系统数量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r>
              <w:t xml:space="preserve">信息化建设项目供需合同</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网络响应速度</w:t>
            </w:r>
          </w:p>
        </w:tc>
        <w:tc>
          <w:tcPr>
            <w:tcW w:w="3430" w:type="dxa"/>
            <w:hMerge w:val="restart"/>
            <w:vAlign w:val="center"/>
          </w:tcPr>
          <w:p>
            <w:pPr>
              <w:pStyle w:val="单元格样式2"/>
            </w:pPr>
            <w:r>
              <w:t xml:space="preserve">网络响应速度</w:t>
            </w:r>
          </w:p>
        </w:tc>
        <w:tc>
          <w:tcPr>
            <w:tcW w:w="0" w:type="auto"/>
            <w:hMerge/>
            <w:vAlign w:val="center"/>
          </w:tcPr>
          <w:p>
            <w:pPr/>
          </w:p>
        </w:tc>
        <w:tc>
          <w:tcPr>
            <w:tcW w:w="2551" w:type="dxa"/>
            <w:hMerge w:val="restart"/>
            <w:vAlign w:val="center"/>
          </w:tcPr>
          <w:p>
            <w:pPr>
              <w:pStyle w:val="单元格样式2"/>
            </w:pPr>
            <w:r>
              <w:t xml:space="preserve">≥2M</w:t>
            </w:r>
          </w:p>
        </w:tc>
        <w:tc>
          <w:tcPr>
            <w:tcW w:w="0" w:type="auto"/>
            <w:hMerge/>
          </w:tcPr>
          <w:p>
            <w:pPr>
              <w:pStyle w:val="单元格样式2"/>
            </w:pPr>
            <w:r>
              <w:t xml:space="preserve">网络租用合同</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科普教育基地更新内容合格率</w:t>
            </w:r>
          </w:p>
        </w:tc>
        <w:tc>
          <w:tcPr>
            <w:tcW w:w="3430" w:type="dxa"/>
            <w:hMerge w:val="restart"/>
            <w:vAlign w:val="center"/>
          </w:tcPr>
          <w:p>
            <w:pPr>
              <w:pStyle w:val="单元格样式2"/>
            </w:pPr>
            <w:r>
              <w:t xml:space="preserve">科普教育基地更新内容合格率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滨海新区知识产权科普教育基地项目采购项目合同</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预审系统运行稳定率</w:t>
            </w:r>
          </w:p>
        </w:tc>
        <w:tc>
          <w:tcPr>
            <w:tcW w:w="3430" w:type="dxa"/>
            <w:hMerge w:val="restart"/>
            <w:vAlign w:val="center"/>
          </w:tcPr>
          <w:p>
            <w:pPr>
              <w:pStyle w:val="单元格样式2"/>
            </w:pPr>
            <w:r>
              <w:t xml:space="preserve">预审系统运行稳定率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信息化建设项目供需合同</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网费支付完成时间</w:t>
            </w:r>
          </w:p>
        </w:tc>
        <w:tc>
          <w:tcPr>
            <w:tcW w:w="3430" w:type="dxa"/>
            <w:hMerge w:val="restart"/>
            <w:vAlign w:val="center"/>
          </w:tcPr>
          <w:p>
            <w:pPr>
              <w:pStyle w:val="单元格样式2"/>
            </w:pPr>
            <w:r>
              <w:t xml:space="preserve">网费支付完成时间</w:t>
            </w:r>
          </w:p>
        </w:tc>
        <w:tc>
          <w:tcPr>
            <w:tcW w:w="0" w:type="auto"/>
            <w:hMerge/>
            <w:vAlign w:val="center"/>
          </w:tcPr>
          <w:p>
            <w:pPr/>
          </w:p>
        </w:tc>
        <w:tc>
          <w:tcPr>
            <w:tcW w:w="2551" w:type="dxa"/>
            <w:hMerge w:val="restart"/>
            <w:vAlign w:val="center"/>
          </w:tcPr>
          <w:p>
            <w:pPr>
              <w:pStyle w:val="单元格样式2"/>
            </w:pPr>
            <w:r>
              <w:t xml:space="preserve">2026年12月底前完成</w:t>
            </w:r>
          </w:p>
        </w:tc>
        <w:tc>
          <w:tcPr>
            <w:tcW w:w="0" w:type="auto"/>
            <w:hMerge/>
          </w:tcPr>
          <w:p>
            <w:pPr>
              <w:pStyle w:val="单元格样式2"/>
            </w:pPr>
            <w:r>
              <w:t xml:space="preserve">网络租用合同</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科普教育基地展示内容更新完成时间</w:t>
            </w:r>
          </w:p>
        </w:tc>
        <w:tc>
          <w:tcPr>
            <w:tcW w:w="3430" w:type="dxa"/>
            <w:hMerge w:val="restart"/>
            <w:vAlign w:val="center"/>
          </w:tcPr>
          <w:p>
            <w:pPr>
              <w:pStyle w:val="单元格样式2"/>
            </w:pPr>
            <w:r>
              <w:t xml:space="preserve">科普教育基地展示内容更新完成时间</w:t>
            </w:r>
          </w:p>
        </w:tc>
        <w:tc>
          <w:tcPr>
            <w:tcW w:w="0" w:type="auto"/>
            <w:hMerge/>
            <w:vAlign w:val="center"/>
          </w:tcPr>
          <w:p>
            <w:pPr/>
          </w:p>
        </w:tc>
        <w:tc>
          <w:tcPr>
            <w:tcW w:w="2551" w:type="dxa"/>
            <w:hMerge w:val="restart"/>
            <w:vAlign w:val="center"/>
          </w:tcPr>
          <w:p>
            <w:pPr>
              <w:pStyle w:val="单元格样式2"/>
            </w:pPr>
            <w:r>
              <w:t xml:space="preserve">2026年12月底前完成</w:t>
            </w:r>
          </w:p>
        </w:tc>
        <w:tc>
          <w:tcPr>
            <w:tcW w:w="0" w:type="auto"/>
            <w:hMerge/>
          </w:tcPr>
          <w:p>
            <w:pPr>
              <w:pStyle w:val="单元格样式2"/>
            </w:pPr>
            <w:r>
              <w:t xml:space="preserve">滨海新区知识产权科普教育基地项目采购项目合同</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预审系统运维费支付完成时间</w:t>
            </w:r>
          </w:p>
        </w:tc>
        <w:tc>
          <w:tcPr>
            <w:tcW w:w="3430" w:type="dxa"/>
            <w:hMerge w:val="restart"/>
            <w:vAlign w:val="center"/>
          </w:tcPr>
          <w:p>
            <w:pPr>
              <w:pStyle w:val="单元格样式2"/>
            </w:pPr>
            <w:r>
              <w:t xml:space="preserve">预审系统运维费支付完成时间</w:t>
            </w:r>
          </w:p>
        </w:tc>
        <w:tc>
          <w:tcPr>
            <w:tcW w:w="0" w:type="auto"/>
            <w:hMerge/>
            <w:vAlign w:val="center"/>
          </w:tcPr>
          <w:p>
            <w:pPr/>
          </w:p>
        </w:tc>
        <w:tc>
          <w:tcPr>
            <w:tcW w:w="2551" w:type="dxa"/>
            <w:hMerge w:val="restart"/>
            <w:vAlign w:val="center"/>
          </w:tcPr>
          <w:p>
            <w:pPr>
              <w:pStyle w:val="单元格样式2"/>
            </w:pPr>
            <w:r>
              <w:t xml:space="preserve">2026年12月底前完成</w:t>
            </w:r>
          </w:p>
        </w:tc>
        <w:tc>
          <w:tcPr>
            <w:tcW w:w="0" w:type="auto"/>
            <w:hMerge/>
          </w:tcPr>
          <w:p>
            <w:pPr>
              <w:pStyle w:val="单元格样式2"/>
            </w:pPr>
            <w:r>
              <w:t xml:space="preserve">信息化建设项目供需合同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网费每月平均成本</w:t>
            </w:r>
          </w:p>
        </w:tc>
        <w:tc>
          <w:tcPr>
            <w:tcW w:w="3430" w:type="dxa"/>
            <w:hMerge w:val="restart"/>
            <w:vAlign w:val="center"/>
          </w:tcPr>
          <w:p>
            <w:pPr>
              <w:pStyle w:val="单元格样式2"/>
            </w:pPr>
            <w:r>
              <w:t xml:space="preserve">网费每月平均成本</w:t>
            </w:r>
          </w:p>
        </w:tc>
        <w:tc>
          <w:tcPr>
            <w:tcW w:w="0" w:type="auto"/>
            <w:hMerge/>
            <w:vAlign w:val="center"/>
          </w:tcPr>
          <w:p>
            <w:pPr/>
          </w:p>
        </w:tc>
        <w:tc>
          <w:tcPr>
            <w:tcW w:w="2551" w:type="dxa"/>
            <w:hMerge w:val="restart"/>
            <w:vAlign w:val="center"/>
          </w:tcPr>
          <w:p>
            <w:pPr>
              <w:pStyle w:val="单元格样式2"/>
            </w:pPr>
            <w:r>
              <w:t xml:space="preserve">≤14400元</w:t>
            </w:r>
          </w:p>
        </w:tc>
        <w:tc>
          <w:tcPr>
            <w:tcW w:w="0" w:type="auto"/>
            <w:hMerge/>
          </w:tcPr>
          <w:p>
            <w:pPr>
              <w:pStyle w:val="单元格样式2"/>
            </w:pPr>
            <w:r>
              <w:t xml:space="preserve">网络租用合同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政务网租用成本</w:t>
            </w:r>
          </w:p>
        </w:tc>
        <w:tc>
          <w:tcPr>
            <w:tcW w:w="3430" w:type="dxa"/>
            <w:hMerge w:val="restart"/>
            <w:vAlign w:val="center"/>
          </w:tcPr>
          <w:p>
            <w:pPr>
              <w:pStyle w:val="单元格样式2"/>
            </w:pPr>
            <w:r>
              <w:t xml:space="preserve">政务网租用成本</w:t>
            </w:r>
          </w:p>
        </w:tc>
        <w:tc>
          <w:tcPr>
            <w:tcW w:w="0" w:type="auto"/>
            <w:hMerge/>
            <w:vAlign w:val="center"/>
          </w:tcPr>
          <w:p>
            <w:pPr/>
          </w:p>
        </w:tc>
        <w:tc>
          <w:tcPr>
            <w:tcW w:w="2551" w:type="dxa"/>
            <w:hMerge w:val="restart"/>
            <w:vAlign w:val="center"/>
          </w:tcPr>
          <w:p>
            <w:pPr>
              <w:pStyle w:val="单元格样式2"/>
            </w:pPr>
            <w:r>
              <w:t xml:space="preserve">≤9360元</w:t>
            </w:r>
          </w:p>
        </w:tc>
        <w:tc>
          <w:tcPr>
            <w:tcW w:w="0" w:type="auto"/>
            <w:hMerge/>
          </w:tcPr>
          <w:p>
            <w:pPr>
              <w:pStyle w:val="单元格样式2"/>
            </w:pPr>
            <w:r>
              <w:t xml:space="preserve">网络租用合同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科普教育基地更新成本</w:t>
            </w:r>
          </w:p>
        </w:tc>
        <w:tc>
          <w:tcPr>
            <w:tcW w:w="3430" w:type="dxa"/>
            <w:hMerge w:val="restart"/>
            <w:vAlign w:val="center"/>
          </w:tcPr>
          <w:p>
            <w:pPr>
              <w:pStyle w:val="单元格样式2"/>
            </w:pPr>
            <w:r>
              <w:t xml:space="preserve">科普教育基地更新成本</w:t>
            </w:r>
          </w:p>
        </w:tc>
        <w:tc>
          <w:tcPr>
            <w:tcW w:w="0" w:type="auto"/>
            <w:hMerge/>
            <w:vAlign w:val="center"/>
          </w:tcPr>
          <w:p>
            <w:pPr/>
          </w:p>
        </w:tc>
        <w:tc>
          <w:tcPr>
            <w:tcW w:w="2551" w:type="dxa"/>
            <w:hMerge w:val="restart"/>
            <w:vAlign w:val="center"/>
          </w:tcPr>
          <w:p>
            <w:pPr>
              <w:pStyle w:val="单元格样式2"/>
            </w:pPr>
            <w:r>
              <w:t xml:space="preserve">≤56940元</w:t>
            </w:r>
          </w:p>
        </w:tc>
        <w:tc>
          <w:tcPr>
            <w:tcW w:w="0" w:type="auto"/>
            <w:hMerge/>
          </w:tcPr>
          <w:p>
            <w:pPr>
              <w:pStyle w:val="单元格样式2"/>
            </w:pPr>
            <w:r>
              <w:t xml:space="preserve">滨海新区知识产权科普教育基地项目采购项目合同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预审系统每季度维护成本</w:t>
            </w:r>
          </w:p>
        </w:tc>
        <w:tc>
          <w:tcPr>
            <w:tcW w:w="3430" w:type="dxa"/>
            <w:hMerge w:val="restart"/>
            <w:vAlign w:val="center"/>
          </w:tcPr>
          <w:p>
            <w:pPr>
              <w:pStyle w:val="单元格样式2"/>
            </w:pPr>
            <w:r>
              <w:t xml:space="preserve">预审系统每季度维护成本</w:t>
            </w:r>
          </w:p>
        </w:tc>
        <w:tc>
          <w:tcPr>
            <w:tcW w:w="0" w:type="auto"/>
            <w:hMerge/>
            <w:vAlign w:val="center"/>
          </w:tcPr>
          <w:p>
            <w:pPr/>
          </w:p>
        </w:tc>
        <w:tc>
          <w:tcPr>
            <w:tcW w:w="2551" w:type="dxa"/>
            <w:hMerge w:val="restart"/>
            <w:vAlign w:val="center"/>
          </w:tcPr>
          <w:p>
            <w:pPr>
              <w:pStyle w:val="单元格样式2"/>
            </w:pPr>
            <w:r>
              <w:t xml:space="preserve">≤50700元</w:t>
            </w:r>
          </w:p>
        </w:tc>
        <w:tc>
          <w:tcPr>
            <w:tcW w:w="0" w:type="auto"/>
            <w:hMerge/>
          </w:tcPr>
          <w:p>
            <w:pPr>
              <w:pStyle w:val="单元格样式2"/>
            </w:pPr>
            <w:r>
              <w:t xml:space="preserve">信息化建设项目供需合同</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提高知识产权服务质量</w:t>
            </w:r>
          </w:p>
        </w:tc>
        <w:tc>
          <w:tcPr>
            <w:tcW w:w="3430" w:type="dxa"/>
            <w:hMerge w:val="restart"/>
            <w:vAlign w:val="center"/>
          </w:tcPr>
          <w:p>
            <w:pPr>
              <w:pStyle w:val="单元格样式2"/>
            </w:pPr>
            <w:r>
              <w:t xml:space="preserve">提高知识产权服务质量</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r>
              <w:t xml:space="preserve">网络租用合同、滨海新区知识产权科普教育基地项目采购项目合同、信息化建设项目供需合同、系统安全等级保护测评合同、国家知识产权局关于加快审查管理平台与地方平台对接的工作方案</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知识产权服务企业满意度</w:t>
            </w:r>
          </w:p>
        </w:tc>
        <w:tc>
          <w:tcPr>
            <w:tcW w:w="3430" w:type="dxa"/>
            <w:hMerge w:val="restart"/>
            <w:vAlign w:val="center"/>
          </w:tcPr>
          <w:p>
            <w:pPr>
              <w:pStyle w:val="单元格样式2"/>
            </w:pPr>
            <w:r>
              <w:t xml:space="preserve">知识产权服务企业满意度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r>
              <w:t xml:space="preserve">网络租用合同、滨海新区知识产权科普教育基地项目采购项目合同、信息化建设项目供需合同、系统安全等级保护测评合同、国家知识产权局关于加快审查管理平台与地方平台对接的工作方案</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sz w:val="28"/>
        </w:rPr>
        <w:t xml:space="preserve">7.2026年编制外长聘人员经费项目（专利预审员）绩效目标表</w:t>
      </w:r>
      <w:bookmarkEnd w:id="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610201天津市滨海新区知识产权保护中心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2026年编制外长聘人员经费项目（专利预审员）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960000.00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960000.00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支付长聘人员工资、社保公积金等。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≥4人</w:t>
            </w:r>
          </w:p>
        </w:tc>
        <w:tc>
          <w:tcPr>
            <w:tcW w:w="0" w:type="auto"/>
            <w:hMerge/>
          </w:tcPr>
          <w:p>
            <w:pPr>
              <w:pStyle w:val="单元格样式2"/>
            </w:pPr>
            <w:r>
              <w:t xml:space="preserve">多种用工人员经费发放人数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多种用工人员经费发放准确率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r>
              <w:t xml:space="preserve">多种用工人员经费发放完成时间</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≤24万元/年/人</w:t>
            </w:r>
          </w:p>
        </w:tc>
        <w:tc>
          <w:tcPr>
            <w:tcW w:w="0" w:type="auto"/>
            <w:hMerge/>
          </w:tcPr>
          <w:p>
            <w:pPr>
              <w:pStyle w:val="单元格样式2"/>
            </w:pPr>
            <w:r>
              <w:t xml:space="preserve">多种用工人员经费标准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多种用工人员到岗率</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多种用工人员满意度</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sz w:val="28"/>
        </w:rPr>
        <w:t xml:space="preserve">8.2026年知识产权保护项目—企业海外纠纷应对指导（自有资金）（其他收入资金）绩效目标表</w:t>
      </w:r>
      <w:bookmarkEnd w:id="1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610201天津市滨海新区知识产权保护中心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2026年知识产权保护项目—企业海外纠纷应对指导（自有资金）（其他收入资金）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 </w:t>
            </w:r>
          </w:p>
        </w:tc>
        <w:tc>
          <w:tcPr>
            <w:tcW w:w="1276" w:type="dxa"/>
            <w:vAlign w:val="center"/>
          </w:tcPr>
          <w:p>
            <w:pPr>
              <w:pStyle w:val="单元格样式1"/>
            </w:pPr>
            <w:r>
              <w:t xml:space="preserve">其他资金</w:t>
            </w:r>
          </w:p>
        </w:tc>
        <w:tc>
          <w:tcPr>
            <w:tcW w:w="1276" w:type="dxa"/>
            <w:vAlign w:val="center"/>
          </w:tcPr>
          <w:p>
            <w:pPr>
              <w:pStyle w:val="单元格样式2"/>
            </w:pPr>
            <w:r>
              <w:t xml:space="preserve">300000.00</w:t>
            </w:r>
          </w:p>
        </w:tc>
      </w:tr>
      <w:tr>
        <w:trPr>
          <w:trHeight w:val="369"/>
          <w:jc w:val="center"/>
        </w:trPr>
        <w:tc>
          <w:tcPr>
            <w:tcW w:w="1276" w:type="dxa"/>
            <w:vMerge/>
          </w:tcPr>
          <w:p>
            <w:pPr/>
          </w:p>
        </w:tc>
        <w:tc>
          <w:tcPr>
            <w:tcW w:w="8589" w:type="dxa"/>
            <w:hMerge w:val="restart"/>
            <w:vAlign w:val="center"/>
          </w:tcPr>
          <w:p>
            <w:pPr>
              <w:pStyle w:val="单元格样式2"/>
            </w:pPr>
            <w:r>
              <w:t xml:space="preserve">支付2025年天津市知识产权资助项目—企业海外纠纷应对指导费用。</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强化海外纠纷应对指导天津滨海新区分中心建设，监测“走出去”企业海外知识产权纠纷线索，丰富海外知识产权保护的成果供给，持续提升对海外知识产权纠纷的应对指导能力，护航我市“走出去”企业平稳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更新国别指南，形成典型案例、保护指引、保护指南数量</w:t>
            </w:r>
          </w:p>
        </w:tc>
        <w:tc>
          <w:tcPr>
            <w:tcW w:w="3430" w:type="dxa"/>
            <w:hMerge w:val="restart"/>
            <w:vAlign w:val="center"/>
          </w:tcPr>
          <w:p>
            <w:pPr>
              <w:pStyle w:val="单元格样式2"/>
            </w:pPr>
            <w:r>
              <w:t xml:space="preserve">更新国别指南，形成典型案例、保护指引、保护指南数量</w:t>
            </w:r>
          </w:p>
        </w:tc>
        <w:tc>
          <w:tcPr>
            <w:tcW w:w="0" w:type="auto"/>
            <w:hMerge/>
            <w:vAlign w:val="center"/>
          </w:tcPr>
          <w:p>
            <w:pPr/>
          </w:p>
        </w:tc>
        <w:tc>
          <w:tcPr>
            <w:tcW w:w="2551" w:type="dxa"/>
            <w:hMerge w:val="restart"/>
            <w:vAlign w:val="center"/>
          </w:tcPr>
          <w:p>
            <w:pPr>
              <w:pStyle w:val="单元格样式2"/>
            </w:pPr>
            <w:r>
              <w:t xml:space="preserve">≥27个</w:t>
            </w:r>
          </w:p>
        </w:tc>
        <w:tc>
          <w:tcPr>
            <w:tcW w:w="0" w:type="auto"/>
            <w:hMerge/>
          </w:tcPr>
          <w:p>
            <w:pPr>
              <w:pStyle w:val="单元格样式2"/>
            </w:pPr>
            <w:r>
              <w:t xml:space="preserve">任务（项目）合同书</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海外预警监测月数</w:t>
            </w:r>
          </w:p>
        </w:tc>
        <w:tc>
          <w:tcPr>
            <w:tcW w:w="3430" w:type="dxa"/>
            <w:hMerge w:val="restart"/>
            <w:vAlign w:val="center"/>
          </w:tcPr>
          <w:p>
            <w:pPr>
              <w:pStyle w:val="单元格样式2"/>
            </w:pPr>
            <w:r>
              <w:t xml:space="preserve">海外预警监测月数</w:t>
            </w:r>
          </w:p>
        </w:tc>
        <w:tc>
          <w:tcPr>
            <w:tcW w:w="0" w:type="auto"/>
            <w:hMerge/>
            <w:vAlign w:val="center"/>
          </w:tcPr>
          <w:p>
            <w:pPr/>
          </w:p>
        </w:tc>
        <w:tc>
          <w:tcPr>
            <w:tcW w:w="2551" w:type="dxa"/>
            <w:hMerge w:val="restart"/>
            <w:vAlign w:val="center"/>
          </w:tcPr>
          <w:p>
            <w:pPr>
              <w:pStyle w:val="单元格样式2"/>
            </w:pPr>
            <w:r>
              <w:t xml:space="preserve">≥12月</w:t>
            </w:r>
          </w:p>
        </w:tc>
        <w:tc>
          <w:tcPr>
            <w:tcW w:w="0" w:type="auto"/>
            <w:hMerge/>
          </w:tcPr>
          <w:p>
            <w:pPr>
              <w:pStyle w:val="单元格样式2"/>
            </w:pPr>
            <w:r>
              <w:t xml:space="preserve">任务（项目）合同书</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形成并印制纠纷调查报告、政策指南数量</w:t>
            </w:r>
          </w:p>
        </w:tc>
        <w:tc>
          <w:tcPr>
            <w:tcW w:w="3430" w:type="dxa"/>
            <w:hMerge w:val="restart"/>
            <w:vAlign w:val="center"/>
          </w:tcPr>
          <w:p>
            <w:pPr>
              <w:pStyle w:val="单元格样式2"/>
            </w:pPr>
            <w:r>
              <w:t xml:space="preserve">形成并印制纠纷调查报告、政策指南数量</w:t>
            </w:r>
          </w:p>
        </w:tc>
        <w:tc>
          <w:tcPr>
            <w:tcW w:w="0" w:type="auto"/>
            <w:hMerge/>
            <w:vAlign w:val="center"/>
          </w:tcPr>
          <w:p>
            <w:pPr/>
          </w:p>
        </w:tc>
        <w:tc>
          <w:tcPr>
            <w:tcW w:w="2551" w:type="dxa"/>
            <w:hMerge w:val="restart"/>
            <w:vAlign w:val="center"/>
          </w:tcPr>
          <w:p>
            <w:pPr>
              <w:pStyle w:val="单元格样式2"/>
            </w:pPr>
            <w:r>
              <w:t xml:space="preserve">≥200册</w:t>
            </w:r>
          </w:p>
        </w:tc>
        <w:tc>
          <w:tcPr>
            <w:tcW w:w="0" w:type="auto"/>
            <w:hMerge/>
          </w:tcPr>
          <w:p>
            <w:pPr>
              <w:pStyle w:val="单元格样式2"/>
            </w:pPr>
            <w:r>
              <w:t xml:space="preserve">任务（项目）合同书</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组织宣传培训场次</w:t>
            </w:r>
          </w:p>
        </w:tc>
        <w:tc>
          <w:tcPr>
            <w:tcW w:w="3430" w:type="dxa"/>
            <w:hMerge w:val="restart"/>
            <w:vAlign w:val="center"/>
          </w:tcPr>
          <w:p>
            <w:pPr>
              <w:pStyle w:val="单元格样式2"/>
            </w:pPr>
            <w:r>
              <w:t xml:space="preserve">组织宣传培训场次</w:t>
            </w:r>
          </w:p>
        </w:tc>
        <w:tc>
          <w:tcPr>
            <w:tcW w:w="0" w:type="auto"/>
            <w:hMerge/>
            <w:vAlign w:val="center"/>
          </w:tcPr>
          <w:p>
            <w:pPr/>
          </w:p>
        </w:tc>
        <w:tc>
          <w:tcPr>
            <w:tcW w:w="2551" w:type="dxa"/>
            <w:hMerge w:val="restart"/>
            <w:vAlign w:val="center"/>
          </w:tcPr>
          <w:p>
            <w:pPr>
              <w:pStyle w:val="单元格样式2"/>
            </w:pPr>
            <w:r>
              <w:t xml:space="preserve">≥5场</w:t>
            </w:r>
          </w:p>
        </w:tc>
        <w:tc>
          <w:tcPr>
            <w:tcW w:w="0" w:type="auto"/>
            <w:hMerge/>
          </w:tcPr>
          <w:p>
            <w:pPr>
              <w:pStyle w:val="单元格样式2"/>
            </w:pPr>
            <w:r>
              <w:t xml:space="preserve">任务（项目）合同书</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天津涉案企业覆盖率</w:t>
            </w:r>
          </w:p>
        </w:tc>
        <w:tc>
          <w:tcPr>
            <w:tcW w:w="3430" w:type="dxa"/>
            <w:hMerge w:val="restart"/>
            <w:vAlign w:val="center"/>
          </w:tcPr>
          <w:p>
            <w:pPr>
              <w:pStyle w:val="单元格样式2"/>
            </w:pPr>
            <w:r>
              <w:t xml:space="preserve">天津涉案企业覆盖率</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r>
              <w:t xml:space="preserve">任务（项目）合同书</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培训合格率</w:t>
            </w:r>
          </w:p>
        </w:tc>
        <w:tc>
          <w:tcPr>
            <w:tcW w:w="3430" w:type="dxa"/>
            <w:hMerge w:val="restart"/>
            <w:vAlign w:val="center"/>
          </w:tcPr>
          <w:p>
            <w:pPr>
              <w:pStyle w:val="单元格样式2"/>
            </w:pPr>
            <w:r>
              <w:t xml:space="preserve">培训合格率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任务（项目）合同书</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项目完成时间</w:t>
            </w:r>
          </w:p>
        </w:tc>
        <w:tc>
          <w:tcPr>
            <w:tcW w:w="3430" w:type="dxa"/>
            <w:hMerge w:val="restart"/>
            <w:vAlign w:val="center"/>
          </w:tcPr>
          <w:p>
            <w:pPr>
              <w:pStyle w:val="单元格样式2"/>
            </w:pPr>
            <w:r>
              <w:t xml:space="preserve">项目完成时间</w:t>
            </w:r>
          </w:p>
        </w:tc>
        <w:tc>
          <w:tcPr>
            <w:tcW w:w="0" w:type="auto"/>
            <w:hMerge/>
            <w:vAlign w:val="center"/>
          </w:tcPr>
          <w:p>
            <w:pPr/>
          </w:p>
        </w:tc>
        <w:tc>
          <w:tcPr>
            <w:tcW w:w="2551" w:type="dxa"/>
            <w:hMerge w:val="restart"/>
            <w:vAlign w:val="center"/>
          </w:tcPr>
          <w:p>
            <w:pPr>
              <w:pStyle w:val="单元格样式2"/>
            </w:pPr>
            <w:r>
              <w:t xml:space="preserve">2026年3月前</w:t>
            </w:r>
          </w:p>
        </w:tc>
        <w:tc>
          <w:tcPr>
            <w:tcW w:w="0" w:type="auto"/>
            <w:hMerge/>
          </w:tcPr>
          <w:p>
            <w:pPr>
              <w:pStyle w:val="单元格样式2"/>
            </w:pPr>
            <w:r>
              <w:t xml:space="preserve">任务（项目）合同书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更新国别指南，形成典型案例、保护指引、保护指南成本</w:t>
            </w:r>
          </w:p>
        </w:tc>
        <w:tc>
          <w:tcPr>
            <w:tcW w:w="3430" w:type="dxa"/>
            <w:hMerge w:val="restart"/>
            <w:vAlign w:val="center"/>
          </w:tcPr>
          <w:p>
            <w:pPr>
              <w:pStyle w:val="单元格样式2"/>
            </w:pPr>
            <w:r>
              <w:t xml:space="preserve">更新国别指南，形成典型案例、保护指引、保护指南成本</w:t>
            </w:r>
          </w:p>
        </w:tc>
        <w:tc>
          <w:tcPr>
            <w:tcW w:w="0" w:type="auto"/>
            <w:hMerge/>
            <w:vAlign w:val="center"/>
          </w:tcPr>
          <w:p>
            <w:pPr/>
          </w:p>
        </w:tc>
        <w:tc>
          <w:tcPr>
            <w:tcW w:w="2551" w:type="dxa"/>
            <w:hMerge w:val="restart"/>
            <w:vAlign w:val="center"/>
          </w:tcPr>
          <w:p>
            <w:pPr>
              <w:pStyle w:val="单元格样式2"/>
            </w:pPr>
            <w:r>
              <w:t xml:space="preserve">≤13.5万元</w:t>
            </w:r>
          </w:p>
        </w:tc>
        <w:tc>
          <w:tcPr>
            <w:tcW w:w="0" w:type="auto"/>
            <w:hMerge/>
          </w:tcPr>
          <w:p>
            <w:pPr>
              <w:pStyle w:val="单元格样式2"/>
            </w:pPr>
            <w:r>
              <w:t xml:space="preserve">任务（项目）合同书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海外预警监测成本</w:t>
            </w:r>
          </w:p>
        </w:tc>
        <w:tc>
          <w:tcPr>
            <w:tcW w:w="3430" w:type="dxa"/>
            <w:hMerge w:val="restart"/>
            <w:vAlign w:val="center"/>
          </w:tcPr>
          <w:p>
            <w:pPr>
              <w:pStyle w:val="单元格样式2"/>
            </w:pPr>
            <w:r>
              <w:t xml:space="preserve">海外预警监测成本</w:t>
            </w:r>
          </w:p>
        </w:tc>
        <w:tc>
          <w:tcPr>
            <w:tcW w:w="0" w:type="auto"/>
            <w:hMerge/>
            <w:vAlign w:val="center"/>
          </w:tcPr>
          <w:p>
            <w:pPr/>
          </w:p>
        </w:tc>
        <w:tc>
          <w:tcPr>
            <w:tcW w:w="2551" w:type="dxa"/>
            <w:hMerge w:val="restart"/>
            <w:vAlign w:val="center"/>
          </w:tcPr>
          <w:p>
            <w:pPr>
              <w:pStyle w:val="单元格样式2"/>
            </w:pPr>
            <w:r>
              <w:t xml:space="preserve">≤10万元</w:t>
            </w:r>
          </w:p>
        </w:tc>
        <w:tc>
          <w:tcPr>
            <w:tcW w:w="0" w:type="auto"/>
            <w:hMerge/>
          </w:tcPr>
          <w:p>
            <w:pPr>
              <w:pStyle w:val="单元格样式2"/>
            </w:pPr>
            <w:r>
              <w:t xml:space="preserve">任务（项目）合同书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形成并印制纠纷调查报告、政策指南成本</w:t>
            </w:r>
          </w:p>
        </w:tc>
        <w:tc>
          <w:tcPr>
            <w:tcW w:w="3430" w:type="dxa"/>
            <w:hMerge w:val="restart"/>
            <w:vAlign w:val="center"/>
          </w:tcPr>
          <w:p>
            <w:pPr>
              <w:pStyle w:val="单元格样式2"/>
            </w:pPr>
            <w:r>
              <w:t xml:space="preserve">形成并印制纠纷调查报告、政策指南成本</w:t>
            </w:r>
          </w:p>
        </w:tc>
        <w:tc>
          <w:tcPr>
            <w:tcW w:w="0" w:type="auto"/>
            <w:hMerge/>
            <w:vAlign w:val="center"/>
          </w:tcPr>
          <w:p>
            <w:pPr/>
          </w:p>
        </w:tc>
        <w:tc>
          <w:tcPr>
            <w:tcW w:w="2551" w:type="dxa"/>
            <w:hMerge w:val="restart"/>
            <w:vAlign w:val="center"/>
          </w:tcPr>
          <w:p>
            <w:pPr>
              <w:pStyle w:val="单元格样式2"/>
            </w:pPr>
            <w:r>
              <w:t xml:space="preserve">≤4万元</w:t>
            </w:r>
          </w:p>
        </w:tc>
        <w:tc>
          <w:tcPr>
            <w:tcW w:w="0" w:type="auto"/>
            <w:hMerge/>
          </w:tcPr>
          <w:p>
            <w:pPr>
              <w:pStyle w:val="单元格样式2"/>
            </w:pPr>
            <w:r>
              <w:t xml:space="preserve">任务（项目）合同书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培训成本</w:t>
            </w:r>
          </w:p>
        </w:tc>
        <w:tc>
          <w:tcPr>
            <w:tcW w:w="3430" w:type="dxa"/>
            <w:hMerge w:val="restart"/>
            <w:vAlign w:val="center"/>
          </w:tcPr>
          <w:p>
            <w:pPr>
              <w:pStyle w:val="单元格样式2"/>
            </w:pPr>
            <w:r>
              <w:t xml:space="preserve">培训成本</w:t>
            </w:r>
          </w:p>
        </w:tc>
        <w:tc>
          <w:tcPr>
            <w:tcW w:w="0" w:type="auto"/>
            <w:hMerge/>
            <w:vAlign w:val="center"/>
          </w:tcPr>
          <w:p>
            <w:pPr/>
          </w:p>
        </w:tc>
        <w:tc>
          <w:tcPr>
            <w:tcW w:w="2551" w:type="dxa"/>
            <w:hMerge w:val="restart"/>
            <w:vAlign w:val="center"/>
          </w:tcPr>
          <w:p>
            <w:pPr>
              <w:pStyle w:val="单元格样式2"/>
            </w:pPr>
            <w:r>
              <w:t xml:space="preserve">≤2.5万元</w:t>
            </w:r>
          </w:p>
        </w:tc>
        <w:tc>
          <w:tcPr>
            <w:tcW w:w="0" w:type="auto"/>
            <w:hMerge/>
          </w:tcPr>
          <w:p>
            <w:pPr>
              <w:pStyle w:val="单元格样式2"/>
            </w:pPr>
            <w:r>
              <w:t xml:space="preserve">任务（项目）合同书</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提升企业海外维权意识</w:t>
            </w:r>
          </w:p>
        </w:tc>
        <w:tc>
          <w:tcPr>
            <w:tcW w:w="3430" w:type="dxa"/>
            <w:hMerge w:val="restart"/>
            <w:vAlign w:val="center"/>
          </w:tcPr>
          <w:p>
            <w:pPr>
              <w:pStyle w:val="单元格样式2"/>
            </w:pPr>
            <w:r>
              <w:t xml:space="preserve">提升企业海外维权意识</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r>
              <w:t xml:space="preserve">任务（项目）合同书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服务企业满意度</w:t>
            </w:r>
          </w:p>
        </w:tc>
        <w:tc>
          <w:tcPr>
            <w:tcW w:w="3430" w:type="dxa"/>
            <w:hMerge w:val="restart"/>
            <w:vAlign w:val="center"/>
          </w:tcPr>
          <w:p>
            <w:pPr>
              <w:pStyle w:val="单元格样式2"/>
            </w:pPr>
            <w:r>
              <w:t xml:space="preserve">服务企业满意度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任务（项目）合同书</w:t>
            </w: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styles" Target="styles.xml" /><Relationship Id="rId25" Type="http://schemas.openxmlformats.org/officeDocument/2006/relationships/webSettings" Target="webSettings.xml" /><Relationship Id="rId26" Type="http://schemas.openxmlformats.org/officeDocument/2006/relationships/numbering" Target="numbering.xml" /><Relationship Id="rId27"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2026-01-20T16:15:42Z</dcterms:created>
  <dcterms:modified xsi:type="dcterms:W3CDTF">2026-01-20T08:15:41Z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2026-01-20T16:15:42Z</dcterms:created>
  <dcterms:modified xsi:type="dcterms:W3CDTF">2026-01-20T08:15:42Z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2026-01-20T16:15:40Z</dcterms:created>
  <dcterms:modified xsi:type="dcterms:W3CDTF">2026-01-20T08:15:40Z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2026-01-20T16:15:41Z</dcterms:created>
  <dcterms:modified xsi:type="dcterms:W3CDTF">2026-01-20T08:15:41Z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2026-01-20T16:15:42Z</dcterms:created>
  <dcterms:modified xsi:type="dcterms:W3CDTF">2026-01-20T08:15:58Z</dcterms:modified>
</cp:coreProperties>
</file>