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w w:val="95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天津市滨海新区知识产权局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年部门预算</w:t>
      </w:r>
    </w:p>
    <w:p>
      <w:pPr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 录</w:t>
      </w:r>
    </w:p>
    <w:p>
      <w:pPr>
        <w:spacing w:line="600" w:lineRule="exact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第一部分  概 况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一、主要职责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二、机构设置情况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第二部分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年部门预算情况说明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一、关于收支总表的说明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二、关于收入总表的说明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三、关于支出总表的说明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四、关于财政拨款收支总表的说明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五、关于一般公共预算支出表的说明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六、关于一般公共预算基本支出表的说明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eastAsia" w:ascii="仿宋_GB2312" w:hAnsi="Times New Roman" w:eastAsia="仿宋_GB2312"/>
          <w:spacing w:val="-20"/>
          <w:sz w:val="30"/>
          <w:szCs w:val="30"/>
        </w:rPr>
        <w:t>关于一般公共预算“三公”经费支出表的说明</w:t>
      </w:r>
    </w:p>
    <w:p>
      <w:pPr>
        <w:spacing w:line="600" w:lineRule="exact"/>
        <w:ind w:left="1200" w:leftChars="250" w:hanging="600" w:hangingChars="200"/>
        <w:rPr>
          <w:rFonts w:hint="eastAsia" w:ascii="仿宋_GB2312" w:hAnsi="Times New Roman" w:eastAsia="仿宋_GB2312"/>
          <w:spacing w:val="-20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十、其他重要事项的情况说明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第三部分  名词解释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第四部分  202</w:t>
      </w:r>
      <w:r>
        <w:rPr>
          <w:rFonts w:hint="eastAsia" w:ascii="仿宋_GB2312" w:hAnsi="Times New Roman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/>
          <w:b/>
          <w:sz w:val="30"/>
          <w:szCs w:val="30"/>
        </w:rPr>
        <w:t>年部门预算表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二、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年收入总表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三、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年支出总表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四、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年财政拨款收支总表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五、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六、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七、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八、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年政府性基金预算支出表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九、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年项目支出表</w:t>
      </w:r>
    </w:p>
    <w:p>
      <w:pPr>
        <w:spacing w:line="600" w:lineRule="exact"/>
        <w:ind w:firstLine="594" w:firstLineChars="198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十一、</w:t>
      </w:r>
      <w:r>
        <w:rPr>
          <w:rFonts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年政府采购预算表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十二、关于空表的说明</w:t>
      </w:r>
    </w:p>
    <w:p>
      <w:pPr>
        <w:pStyle w:val="8"/>
        <w:tabs>
          <w:tab w:val="right" w:leader="dot" w:pos="8296"/>
        </w:tabs>
        <w:spacing w:line="600" w:lineRule="exact"/>
        <w:ind w:left="0"/>
        <w:rPr>
          <w:rFonts w:ascii="黑体" w:eastAsia="黑体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304" w:left="1588" w:header="765" w:footer="765" w:gutter="0"/>
          <w:pgNumType w:fmt="numberInDash" w:start="1"/>
          <w:cols w:space="720" w:num="1"/>
          <w:docGrid w:linePitch="326" w:charSpace="0"/>
        </w:sectPr>
      </w:pP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bookmarkStart w:id="0" w:name="_Toc78784554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第一部分  概 况</w:t>
      </w:r>
      <w:bookmarkEnd w:id="0"/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1" w:name="_Toc78784555"/>
      <w:r>
        <w:rPr>
          <w:rFonts w:hint="eastAsia" w:ascii="仿宋_GB2312" w:hAnsi="Times New Roman" w:eastAsia="仿宋_GB2312"/>
          <w:b/>
          <w:sz w:val="30"/>
          <w:szCs w:val="30"/>
        </w:rPr>
        <w:t>一、主要职责</w:t>
      </w:r>
      <w:bookmarkEnd w:id="1"/>
    </w:p>
    <w:p>
      <w:pPr>
        <w:spacing w:line="600" w:lineRule="exact"/>
        <w:ind w:firstLine="600" w:firstLineChars="200"/>
        <w:jc w:val="both"/>
        <w:rPr>
          <w:rFonts w:hint="eastAsia" w:ascii="仿宋_GB2312" w:hAnsi="Times New Roman" w:eastAsia="仿宋_GB2312"/>
          <w:color w:val="000000"/>
          <w:sz w:val="30"/>
          <w:szCs w:val="30"/>
        </w:rPr>
      </w:pPr>
      <w:bookmarkStart w:id="2" w:name="_Toc78784556"/>
      <w:r>
        <w:rPr>
          <w:rFonts w:hint="eastAsia" w:ascii="仿宋_GB2312" w:hAnsi="Times New Roman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贯彻执行国家有关商标、专利、原产地地理标志、集成电路布图设计等知识产权方面的法律法规、规章政策。贯彻国家和本市知识产权战略，拟订和组织实施本区知识产权战略。拟订加强知识产权强区建设的发展规划。拟订和组织实施强化本区知识产权创造、保护、运用、管理、服务的政策和制度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（二）负责保护知识产权。组织实施国家严格保护商标、</w:t>
      </w:r>
      <w:r>
        <w:rPr>
          <w:rFonts w:ascii="仿宋_GB2312" w:hAnsi="Times New Roman" w:eastAsia="仿宋_GB2312"/>
          <w:color w:val="000000"/>
          <w:sz w:val="30"/>
          <w:szCs w:val="30"/>
        </w:rPr>
        <w:t>由主管部门根据有关主要职责填写。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专利、原产地地理标志、集成电路布图设计等知识产权的制度。研究鼓励新领域、新业态、新模式创新的知识产权保护、管理和服务政策。研究提出并组织实施知识产权保护体系建设方案，推动建设知识产权保护体系。负责商标、专利等领域执法的业务指导。指导全区知识产权争议处理、维权援助和纠纷调处。组织开展知识产权风险预测预警工作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三）负责促进知识产权运用。组织实施知识产权运用和规范交易的政策，促进知识产权转移转化。规范知识产权无形资产评估工作。落实知识产权中介服务机构发展与监管的政策措施。指导和推动知识产权质押融资等工作。负责知识产权专项资金管理工作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（四）负责建立知识产权公共服务体系。建设便企利民、互联互通的全区知识产权信息公共服务平台，推动商标、专利、原产地地理标志等知识产权信息传播利用。负责知识产权宣传和培训。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（五）负责统筹协调涉外知识产权事宜。负责实施知识产权涉外工作的政策，开展知识产权工作的合作与交流活动。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（六）负责本区知识产权人才队伍建设工作。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（七）做好本部门安全生产工作，在职责范围内为安全生产工作提供支持保障。负责督促所属单位落实安全生产有关法律法规。</w:t>
      </w:r>
    </w:p>
    <w:p>
      <w:pPr>
        <w:spacing w:line="600" w:lineRule="exact"/>
        <w:ind w:firstLine="594" w:firstLineChars="198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（八）配合有关部门推动招商引资工作。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（九）完成区委、区政府交办的其他任务。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b/>
          <w:sz w:val="30"/>
          <w:szCs w:val="30"/>
        </w:rPr>
        <w:t>二、机构设置</w:t>
      </w:r>
      <w:bookmarkEnd w:id="2"/>
      <w:r>
        <w:rPr>
          <w:rFonts w:hint="eastAsia" w:ascii="仿宋_GB2312" w:hAnsi="Times New Roman" w:eastAsia="仿宋_GB2312"/>
          <w:b/>
          <w:sz w:val="30"/>
          <w:szCs w:val="30"/>
        </w:rPr>
        <w:t>情况</w:t>
      </w:r>
    </w:p>
    <w:p>
      <w:pPr>
        <w:spacing w:line="600" w:lineRule="exact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</w:t>
      </w:r>
      <w:r>
        <w:rPr>
          <w:rFonts w:ascii="仿宋_GB2312" w:hAnsi="Times New Roman" w:eastAsia="仿宋_GB2312"/>
          <w:sz w:val="30"/>
          <w:szCs w:val="30"/>
        </w:rPr>
        <w:t>部门内设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 xml:space="preserve"> 3 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个职能处室；下辖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 </w:t>
      </w:r>
      <w:r>
        <w:rPr>
          <w:rFonts w:ascii="仿宋_GB2312" w:hAnsi="Times New Roman" w:eastAsia="仿宋_GB2312"/>
          <w:sz w:val="30"/>
          <w:szCs w:val="30"/>
        </w:rPr>
        <w:t>个预算单位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纳入本部门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年部门预算编制范围的预算单位包括：</w:t>
      </w:r>
    </w:p>
    <w:p>
      <w:pPr>
        <w:spacing w:line="600" w:lineRule="exact"/>
        <w:ind w:firstLine="600"/>
        <w:jc w:val="both"/>
        <w:rPr>
          <w:rFonts w:hint="eastAsia"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1.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天津市滨海新区知识产权局（本级）</w:t>
      </w:r>
    </w:p>
    <w:p>
      <w:pPr>
        <w:spacing w:line="600" w:lineRule="exact"/>
        <w:ind w:firstLine="600"/>
        <w:jc w:val="both"/>
        <w:rPr>
          <w:rFonts w:hint="default" w:ascii="仿宋_GB2312" w:hAnsi="Times New Roman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2.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天津市滨海新区知识产权保护中心</w:t>
      </w:r>
    </w:p>
    <w:p>
      <w:pP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bookmarkStart w:id="3" w:name="_Toc78784570"/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br w:type="page"/>
      </w:r>
    </w:p>
    <w:p>
      <w:pPr>
        <w:rPr>
          <w:rFonts w:hint="eastAsia"/>
        </w:rPr>
      </w:pP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二</w:t>
      </w:r>
      <w:r>
        <w:rPr>
          <w:rFonts w:ascii="方正小标宋简体" w:hAnsi="方正小标宋简体" w:eastAsia="方正小标宋简体" w:cs="方正小标宋简体"/>
          <w:b w:val="0"/>
          <w:sz w:val="48"/>
          <w:szCs w:val="48"/>
        </w:rPr>
        <w:t xml:space="preserve">部分  </w:t>
      </w:r>
      <w:r>
        <w:rPr>
          <w:rFonts w:hint="default" w:ascii="方正小标宋简体" w:hAnsi="方正小标宋简体" w:eastAsia="方正小标宋简体" w:cs="方正小标宋简体"/>
          <w:b w:val="0"/>
          <w:spacing w:val="-20"/>
          <w:sz w:val="48"/>
          <w:szCs w:val="48"/>
          <w:lang w:val="en"/>
        </w:rPr>
        <w:t>2026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年部门</w:t>
      </w:r>
      <w:r>
        <w:rPr>
          <w:rFonts w:hint="eastAsia"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预算情况</w:t>
      </w:r>
      <w:r>
        <w:rPr>
          <w:rFonts w:ascii="方正小标宋简体" w:hAnsi="方正小标宋简体" w:eastAsia="方正小标宋简体" w:cs="方正小标宋简体"/>
          <w:b w:val="0"/>
          <w:spacing w:val="-20"/>
          <w:sz w:val="48"/>
          <w:szCs w:val="48"/>
        </w:rPr>
        <w:t>说明</w:t>
      </w:r>
      <w:bookmarkEnd w:id="3"/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4" w:name="_Toc78784571"/>
      <w:r>
        <w:rPr>
          <w:rFonts w:hint="eastAsia" w:ascii="仿宋_GB2312" w:hAnsi="Times New Roman" w:eastAsia="仿宋_GB2312"/>
          <w:b/>
          <w:sz w:val="30"/>
          <w:szCs w:val="30"/>
        </w:rPr>
        <w:t>一、</w:t>
      </w:r>
      <w:bookmarkEnd w:id="4"/>
      <w:r>
        <w:rPr>
          <w:rFonts w:hint="eastAsia" w:ascii="仿宋_GB2312" w:hAnsi="Times New Roman" w:eastAsia="仿宋_GB2312"/>
          <w:b/>
          <w:sz w:val="30"/>
          <w:szCs w:val="30"/>
        </w:rPr>
        <w:t>关于收支总表的说明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按照综合预算的原则，本部门所有收入和支出均纳入部门预算管理。收入包括：一般公共预算拨款收入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1791.07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政府性基金预算拨款收入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国有资本经营预算拨款收入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、财政专户管理资金收入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事业单位经营收入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</w:rPr>
        <w:t>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31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</w:t>
      </w:r>
      <w:r>
        <w:rPr>
          <w:rFonts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；支出包括：一般公共服务支出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1822.07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、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资源勘探工业信息等</w:t>
      </w:r>
      <w:r>
        <w:rPr>
          <w:rFonts w:hint="eastAsia" w:ascii="仿宋_GB2312" w:hAnsi="Times New Roman" w:eastAsia="仿宋_GB2312"/>
          <w:sz w:val="30"/>
          <w:szCs w:val="30"/>
        </w:rPr>
        <w:t>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hint="eastAsia" w:ascii="仿宋_GB2312" w:hAnsi="Times New Roman" w:eastAsia="仿宋_GB2312"/>
          <w:sz w:val="30"/>
          <w:szCs w:val="30"/>
        </w:rPr>
        <w:t>年收支总预算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1823.29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Times New Roman" w:eastAsia="仿宋_GB2312"/>
          <w:b/>
          <w:sz w:val="30"/>
          <w:szCs w:val="30"/>
        </w:rPr>
      </w:pPr>
      <w:bookmarkStart w:id="5" w:name="_Toc78784572"/>
      <w:r>
        <w:rPr>
          <w:rFonts w:hint="eastAsia" w:ascii="仿宋_GB2312" w:hAnsi="Times New Roman" w:eastAsia="仿宋_GB2312"/>
          <w:b/>
          <w:sz w:val="30"/>
          <w:szCs w:val="30"/>
        </w:rPr>
        <w:t>二、</w:t>
      </w:r>
      <w:bookmarkEnd w:id="5"/>
      <w:r>
        <w:rPr>
          <w:rFonts w:hint="eastAsia" w:ascii="仿宋_GB2312" w:hAnsi="Times New Roman" w:eastAsia="仿宋_GB2312"/>
          <w:b/>
          <w:sz w:val="30"/>
          <w:szCs w:val="30"/>
        </w:rPr>
        <w:t>关于收入总表的说明</w:t>
      </w:r>
    </w:p>
    <w:p>
      <w:pPr>
        <w:spacing w:line="600" w:lineRule="exact"/>
        <w:ind w:firstLine="600" w:firstLineChars="200"/>
        <w:rPr>
          <w:rFonts w:hint="eastAsia" w:ascii="仿宋_GB2312" w:hAnsi="Times New Roman" w:eastAsia="仿宋_GB2312"/>
          <w:b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本部门</w:t>
      </w:r>
      <w:r>
        <w:rPr>
          <w:rFonts w:hint="default" w:ascii="仿宋_GB2312" w:hAnsi="Times New Roman" w:eastAsia="仿宋_GB2312"/>
          <w:sz w:val="30"/>
          <w:szCs w:val="30"/>
          <w:lang w:val="en"/>
        </w:rPr>
        <w:t>2026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部门预算</w:t>
      </w:r>
      <w:r>
        <w:rPr>
          <w:rFonts w:ascii="仿宋_GB2312" w:hAnsi="Times New Roman" w:eastAsia="仿宋_GB2312"/>
          <w:sz w:val="30"/>
          <w:szCs w:val="30"/>
        </w:rPr>
        <w:t>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1823.29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万元，与</w:t>
      </w:r>
      <w:r>
        <w:rPr>
          <w:rFonts w:hint="eastAsia" w:ascii="仿宋_GB2312" w:hAnsi="Times New Roman" w:eastAsia="仿宋_GB2312"/>
          <w:sz w:val="30"/>
          <w:szCs w:val="30"/>
        </w:rPr>
        <w:t>202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</w:rPr>
        <w:t>预</w:t>
      </w:r>
      <w:r>
        <w:rPr>
          <w:rFonts w:ascii="仿宋_GB2312" w:hAnsi="Times New Roman" w:eastAsia="仿宋_GB2312"/>
          <w:sz w:val="30"/>
          <w:szCs w:val="30"/>
        </w:rPr>
        <w:t>算相比减少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4966.56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</w:t>
      </w:r>
      <w:r>
        <w:rPr>
          <w:rFonts w:hint="eastAsia" w:ascii="仿宋_GB2312" w:hAnsi="Times New Roman" w:eastAsia="仿宋_GB2312"/>
          <w:sz w:val="30"/>
          <w:szCs w:val="30"/>
        </w:rPr>
        <w:t>主要原因是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我部门设立的5000万元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知识产权融资风险补偿金于2025年到期，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已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按规定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全部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上缴至新区财政国库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r>
        <w:rPr>
          <w:rFonts w:ascii="仿宋_GB2312" w:hAnsi="Times New Roman" w:eastAsia="仿宋_GB2312"/>
          <w:sz w:val="30"/>
          <w:szCs w:val="30"/>
        </w:rPr>
        <w:t>其中：</w:t>
      </w:r>
      <w:r>
        <w:rPr>
          <w:rFonts w:hint="eastAsia" w:ascii="仿宋_GB2312" w:hAnsi="Times New Roman" w:eastAsia="仿宋_GB2312"/>
          <w:sz w:val="30"/>
          <w:szCs w:val="30"/>
        </w:rPr>
        <w:t>上年结转结余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0.07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%；一般公共预算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1791.07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98.23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%；政府性基金预算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%；国有资本经营预算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财政专户管理资金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%；事业收入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</w:t>
      </w:r>
      <w:r>
        <w:rPr>
          <w:rFonts w:hint="eastAsia" w:ascii="仿宋_GB2312" w:hAnsi="Times New Roman" w:eastAsia="仿宋_GB2312"/>
          <w:sz w:val="30"/>
          <w:szCs w:val="30"/>
        </w:rPr>
        <w:t>事业单位</w:t>
      </w:r>
      <w:r>
        <w:rPr>
          <w:rFonts w:ascii="仿宋_GB2312" w:hAnsi="Times New Roman" w:eastAsia="仿宋_GB2312"/>
          <w:sz w:val="30"/>
          <w:szCs w:val="30"/>
        </w:rPr>
        <w:t>经营收入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%；上级补助收入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%；附属单位上缴收入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%；其他收入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31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万元，占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1.70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%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  <w:bookmarkStart w:id="6" w:name="_Toc78784573"/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</w:t>
      </w:r>
      <w:bookmarkEnd w:id="6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关于支出总表的说明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1823.29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年预算相比增减少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4966.56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我部门设立的5000万元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知识产权融资风险补偿金于2025年到期，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已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按规定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全部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>上缴至新区财政国库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1398.07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76.68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%；项目支出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425.22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23.32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%；事业单位经营支出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%；上缴上级支出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%；对附属单位补助支出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%。 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7" w:name="_Toc78784574"/>
      <w:r>
        <w:rPr>
          <w:rFonts w:hint="eastAsia" w:ascii="仿宋_GB2312" w:hAnsi="仿宋_GB2312" w:eastAsia="仿宋_GB2312" w:cs="仿宋_GB2312"/>
          <w:b/>
          <w:sz w:val="30"/>
          <w:szCs w:val="30"/>
        </w:rPr>
        <w:t>四、</w:t>
      </w:r>
      <w:bookmarkEnd w:id="7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关于财政拨款收支总表的说明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年财政拨款收入预算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1792.29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17.24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一般公共预算收入增加，同时上年结转增加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。收入包括：一般公共预算拨款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1791.07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万元、政府性基金预算拨款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万元、国有资本经营预算拨款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万元、上年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结转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年财政拨款支出预算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1792.29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17.24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一般公共预算支出增加，同时上年结转增加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。支出包括：一般公共服务支出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1791.07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资源勘探工业信息等</w:t>
      </w:r>
      <w:r>
        <w:rPr>
          <w:rFonts w:hint="eastAsia" w:ascii="仿宋_GB2312" w:hAnsi="Times New Roman" w:eastAsia="仿宋_GB2312"/>
          <w:sz w:val="30"/>
          <w:szCs w:val="30"/>
        </w:rPr>
        <w:t>支出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/>
          <w:sz w:val="30"/>
          <w:szCs w:val="30"/>
          <w:u w:val="single"/>
          <w:lang w:val="en-US" w:eastAsia="zh-CN"/>
        </w:rPr>
        <w:t>1.22</w:t>
      </w:r>
      <w:r>
        <w:rPr>
          <w:rFonts w:ascii="仿宋_GB2312" w:hAnsi="Times New Roman" w:eastAsia="仿宋_GB2312"/>
          <w:sz w:val="30"/>
          <w:szCs w:val="30"/>
          <w:u w:val="single"/>
        </w:rPr>
        <w:t xml:space="preserve"> </w:t>
      </w:r>
      <w:r>
        <w:rPr>
          <w:rFonts w:ascii="仿宋_GB2312" w:hAnsi="Times New Roman" w:eastAsia="仿宋_GB2312"/>
          <w:sz w:val="30"/>
          <w:szCs w:val="30"/>
        </w:rPr>
        <w:t>万元</w:t>
      </w:r>
      <w:r>
        <w:rPr>
          <w:rFonts w:hint="eastAsia" w:ascii="仿宋_GB2312" w:hAnsi="Times New Roman" w:eastAsia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8" w:name="_Toc78784575"/>
      <w:r>
        <w:rPr>
          <w:rFonts w:hint="eastAsia" w:ascii="仿宋_GB2312" w:hAnsi="仿宋_GB2312" w:eastAsia="仿宋_GB2312" w:cs="仿宋_GB2312"/>
          <w:b/>
          <w:sz w:val="30"/>
          <w:szCs w:val="30"/>
        </w:rPr>
        <w:t>五、</w:t>
      </w:r>
      <w:bookmarkEnd w:id="8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关于一般公共预算支出表的说明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（一）总体情况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公共预算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1792.29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17.24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2025年因新增人员导致基本支出增加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（二）具体情况</w:t>
      </w:r>
    </w:p>
    <w:p>
      <w:pPr>
        <w:numPr>
          <w:ilvl w:val="0"/>
          <w:numId w:val="1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一般公共服务支出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1791.07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16.02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2025年因新增人员导致基本支出增加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知识产权事务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1791.07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行政运行（知识产权事务）</w:t>
      </w:r>
      <w:r>
        <w:rPr>
          <w:rFonts w:hint="eastAsia" w:ascii="仿宋_GB2312" w:hAnsi="仿宋_GB2312" w:eastAsia="仿宋_GB2312" w:cs="仿宋_GB2312"/>
          <w:sz w:val="30"/>
          <w:szCs w:val="30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466.46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局本级人员支出及公用经费支出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事业运行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知识产权事务</w:t>
      </w:r>
      <w:r>
        <w:rPr>
          <w:rFonts w:hint="eastAsia" w:ascii="仿宋_GB2312" w:hAnsi="仿宋_GB2312" w:eastAsia="仿宋_GB2312" w:cs="仿宋_GB2312"/>
          <w:sz w:val="30"/>
          <w:szCs w:val="30"/>
        </w:rPr>
        <w:t>）”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1222.61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区知识产权保护中心人员支出、公用支出及项目支出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其他知识产权事务支出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主要用于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知识产权运营促进保护发展工作经费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numPr>
          <w:ilvl w:val="0"/>
          <w:numId w:val="1"/>
        </w:numPr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bookmarkStart w:id="14" w:name="_GoBack"/>
      <w:bookmarkEnd w:id="14"/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“资源勘探工业信息等支出”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2025年新购入国产设备政策补贴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，其中：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“其他资源勘探工业信息等支出”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“技术改造支出”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局本级设备国产化替代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9" w:name="_Toc78784576"/>
      <w:r>
        <w:rPr>
          <w:rFonts w:hint="eastAsia" w:ascii="仿宋_GB2312" w:hAnsi="仿宋_GB2312" w:eastAsia="仿宋_GB2312" w:cs="仿宋_GB2312"/>
          <w:b/>
          <w:sz w:val="30"/>
          <w:szCs w:val="30"/>
        </w:rPr>
        <w:t>六、</w:t>
      </w:r>
      <w:bookmarkEnd w:id="9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关于一般公共预算基本支出表的说明</w:t>
      </w:r>
    </w:p>
    <w:p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本部门一般公共预算基本支出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1398.07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185.32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2025年因新增人员导致人员、公用经费支出增加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。其中：</w:t>
      </w:r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1289.03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工资福利支出、对个人和家庭的补助等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109.04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万元，主要包括：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办公费、印刷费、手续费、水费、邮电费、差旅费、维修（护）费、培训费、办公设备购置费、公务接待费、委托业务费、工会经费、其他交通费用、其他商品和服务支出等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0" w:name="_Toc78784577"/>
      <w:r>
        <w:rPr>
          <w:rFonts w:hint="eastAsia" w:ascii="仿宋_GB2312" w:hAnsi="仿宋_GB2312" w:eastAsia="仿宋_GB2312" w:cs="仿宋_GB2312"/>
          <w:b/>
          <w:sz w:val="30"/>
          <w:szCs w:val="30"/>
        </w:rPr>
        <w:t>七、关于一般公共预算“三公”经费支出表的说明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严格执行中央八项规定精神和厉行节约要求，严控“三公”经费规模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。具体情况：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年因公出国（境）费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年公务用车购置及运行费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万元，其中公务用车运行费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；公务用车购置费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本部门一般公共预算未安排此项经费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年公务接待费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万元，与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年预算相比增加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万元，主要原因是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严格执行中央八项规定精神和厉行节约要求，严控“三公”经费规模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八、</w:t>
      </w:r>
      <w:bookmarkEnd w:id="10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关于政府性基金预算支出表的说明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年本部门预算中没有使用政府性基金预算安排的支出。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1" w:name="_Toc78784578"/>
      <w:r>
        <w:rPr>
          <w:rFonts w:hint="eastAsia" w:ascii="仿宋_GB2312" w:hAnsi="仿宋_GB2312" w:eastAsia="仿宋_GB2312" w:cs="仿宋_GB2312"/>
          <w:b/>
          <w:sz w:val="30"/>
          <w:szCs w:val="30"/>
        </w:rPr>
        <w:t>九、</w:t>
      </w:r>
      <w:bookmarkEnd w:id="11"/>
      <w:r>
        <w:rPr>
          <w:rFonts w:hint="eastAsia" w:ascii="仿宋_GB2312" w:hAnsi="仿宋_GB2312" w:eastAsia="仿宋_GB2312" w:cs="仿宋_GB2312"/>
          <w:b/>
          <w:sz w:val="30"/>
          <w:szCs w:val="30"/>
        </w:rPr>
        <w:t>关于国有资本经营预算支出表的说明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年本部门预算中没有使用国有资本经营预算安排的支出。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2" w:name="_Toc78784579"/>
      <w:r>
        <w:rPr>
          <w:rFonts w:hint="eastAsia" w:ascii="仿宋_GB2312" w:hAnsi="仿宋_GB2312" w:eastAsia="仿宋_GB2312" w:cs="仿宋_GB2312"/>
          <w:b/>
          <w:sz w:val="30"/>
          <w:szCs w:val="30"/>
        </w:rPr>
        <w:t>十、其他重要事项的情况说明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一）机关运行经费</w:t>
      </w:r>
      <w:bookmarkEnd w:id="12"/>
    </w:p>
    <w:p>
      <w:pPr>
        <w:spacing w:line="6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天津市滨海新区知识产权局（本级）1</w:t>
      </w:r>
      <w:r>
        <w:rPr>
          <w:rFonts w:hint="eastAsia" w:ascii="仿宋_GB2312" w:hAnsi="仿宋_GB2312" w:eastAsia="仿宋_GB2312" w:cs="仿宋_GB2312"/>
          <w:sz w:val="30"/>
          <w:szCs w:val="30"/>
        </w:rPr>
        <w:t>家行政单位的机关运行经费预算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43.94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万元，包括办公费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5.99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邮电费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印刷费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手续费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0.01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维修（护）费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公务接待费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委托业务费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工会经费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5.03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劳务费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其他交通费用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15.51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其他商品和服务支出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办公设备购置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（二）政府采购情况</w:t>
      </w:r>
    </w:p>
    <w:p>
      <w:pPr>
        <w:kinsoku w:val="0"/>
        <w:wordWrap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年安排政府采购预算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6.97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其中：政府采购货物支出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6.97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万元、政府采购工程支出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万元、政府采购服务支出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万元。主要项目是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：2026年预算公用经费项目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6.97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（三）国有资产占用情况</w:t>
      </w:r>
    </w:p>
    <w:p>
      <w:pPr>
        <w:spacing w:line="58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截至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年7月底，本部门各单位共有车辆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辆，其中：副部（省）级及以上领导用车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辆、主要负责人干部用车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辆、机要通信用车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辆、应急保障用车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辆、执法执勤用车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辆、特种专业技术用车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辆、离退休干部服务用车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辆、其他用车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辆，其他用车主要包括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。单价（账面原值）100万以上的设备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台（套）。</w:t>
      </w:r>
      <w:r>
        <w:rPr>
          <w:rFonts w:hint="eastAsia" w:ascii="仿宋_GB2312" w:hAnsi="仿宋_GB2312" w:eastAsia="仿宋_GB2312" w:cs="仿宋_GB2312"/>
          <w:color w:val="004080"/>
          <w:sz w:val="27"/>
          <w:szCs w:val="27"/>
          <w:lang w:val="zh-CN"/>
        </w:rPr>
        <w:t xml:space="preserve"> </w:t>
      </w:r>
    </w:p>
    <w:p>
      <w:pPr>
        <w:spacing w:line="600" w:lineRule="exact"/>
        <w:ind w:left="480" w:left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（四）预算绩效情况说明</w:t>
      </w:r>
    </w:p>
    <w:p>
      <w:pPr>
        <w:spacing w:line="580" w:lineRule="exact"/>
        <w:ind w:left="151" w:leftChars="63" w:firstLine="450" w:firstLineChars="1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本部门</w:t>
      </w:r>
      <w:r>
        <w:rPr>
          <w:rFonts w:hint="default" w:ascii="仿宋_GB2312" w:hAnsi="仿宋_GB2312" w:eastAsia="仿宋_GB2312" w:cs="仿宋_GB2312"/>
          <w:color w:val="000000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年实行绩效目标管理的项目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个，涉及预算金额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425.22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元。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13" w:name="_Toc78784585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br w:type="page"/>
      </w:r>
    </w:p>
    <w:p>
      <w:pPr>
        <w:pStyle w:val="2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第三部分  名词解释</w:t>
      </w:r>
      <w:bookmarkEnd w:id="13"/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1.部门预算。</w:t>
      </w:r>
      <w:r>
        <w:rPr>
          <w:rFonts w:hint="eastAsia" w:ascii="仿宋_GB2312" w:hAnsi="仿宋_GB2312" w:eastAsia="仿宋_GB2312" w:cs="仿宋_GB2312"/>
          <w:sz w:val="30"/>
          <w:szCs w:val="30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2.机关运行经费。</w:t>
      </w:r>
      <w:r>
        <w:rPr>
          <w:rFonts w:hint="eastAsia" w:ascii="仿宋_GB2312" w:hAnsi="仿宋_GB2312" w:eastAsia="仿宋_GB2312" w:cs="仿宋_GB2312"/>
          <w:sz w:val="30"/>
          <w:szCs w:val="30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br w:type="page"/>
      </w:r>
    </w:p>
    <w:p>
      <w:pPr>
        <w:pStyle w:val="2"/>
        <w:keepNext w:val="0"/>
        <w:keepLine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 xml:space="preserve">第四部分  </w:t>
      </w:r>
      <w:r>
        <w:rPr>
          <w:rFonts w:hint="default" w:ascii="方正小标宋简体" w:hAnsi="方正小标宋简体" w:eastAsia="方正小标宋简体" w:cs="方正小标宋简体"/>
          <w:b w:val="0"/>
          <w:sz w:val="48"/>
          <w:szCs w:val="48"/>
          <w:lang w:val="e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sz w:val="48"/>
          <w:szCs w:val="48"/>
        </w:rPr>
        <w:t>年部门预算表</w:t>
      </w:r>
    </w:p>
    <w:p>
      <w:pPr>
        <w:spacing w:line="600" w:lineRule="exact"/>
        <w:ind w:firstLine="594" w:firstLineChars="19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年收支总表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年收入总表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年财政拨款收支总表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年一般公共预算基本支出表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年一般公共预算“三公”经费支出表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年政府性基金预算支出表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年国有资本经营预算支出表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</w:rPr>
        <w:t>年项目支出表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年政府采购预算表</w:t>
      </w:r>
    </w:p>
    <w:p>
      <w:pPr>
        <w:spacing w:line="560" w:lineRule="exact"/>
        <w:ind w:left="480" w:leftChars="200" w:firstLine="147" w:firstLineChars="4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十二、关于空表的说明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1.本部门202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年政府性基金预算支出情况表为空表。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2.本部门202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年国有资本经营预算支出情况表为空表。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FF0000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eastAsia="楷体_GB2312"/>
          <w:color w:val="FF0000"/>
          <w:sz w:val="30"/>
          <w:szCs w:val="30"/>
        </w:rPr>
      </w:pPr>
    </w:p>
    <w:sectPr>
      <w:footerReference r:id="rId6" w:type="default"/>
      <w:pgSz w:w="11907" w:h="16840"/>
      <w:pgMar w:top="2098" w:right="1474" w:bottom="1304" w:left="1588" w:header="765" w:footer="765" w:gutter="0"/>
      <w:pgNumType w:fmt="numberInDash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erif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5A5549"/>
    <w:multiLevelType w:val="singleLevel"/>
    <w:tmpl w:val="B85A55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77"/>
    <w:rsid w:val="0001204D"/>
    <w:rsid w:val="00012D48"/>
    <w:rsid w:val="00014B7E"/>
    <w:rsid w:val="00020DAE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38DE"/>
    <w:rsid w:val="00066DA5"/>
    <w:rsid w:val="00081133"/>
    <w:rsid w:val="00082771"/>
    <w:rsid w:val="00093F1A"/>
    <w:rsid w:val="00097C4D"/>
    <w:rsid w:val="000A4C45"/>
    <w:rsid w:val="000A6A5A"/>
    <w:rsid w:val="000A750A"/>
    <w:rsid w:val="000B1B04"/>
    <w:rsid w:val="000B5758"/>
    <w:rsid w:val="000C1D30"/>
    <w:rsid w:val="000C211F"/>
    <w:rsid w:val="000C3FFB"/>
    <w:rsid w:val="000C5349"/>
    <w:rsid w:val="000C704F"/>
    <w:rsid w:val="000D1BEF"/>
    <w:rsid w:val="000E221E"/>
    <w:rsid w:val="000E5A14"/>
    <w:rsid w:val="000F2DDD"/>
    <w:rsid w:val="00101B9A"/>
    <w:rsid w:val="00103D12"/>
    <w:rsid w:val="001044EF"/>
    <w:rsid w:val="00107793"/>
    <w:rsid w:val="00107F74"/>
    <w:rsid w:val="00141FB3"/>
    <w:rsid w:val="00143640"/>
    <w:rsid w:val="00146622"/>
    <w:rsid w:val="00151DB8"/>
    <w:rsid w:val="00151E56"/>
    <w:rsid w:val="00154D50"/>
    <w:rsid w:val="001574DB"/>
    <w:rsid w:val="00160516"/>
    <w:rsid w:val="001616F8"/>
    <w:rsid w:val="001639E6"/>
    <w:rsid w:val="0016548E"/>
    <w:rsid w:val="00167781"/>
    <w:rsid w:val="00173D03"/>
    <w:rsid w:val="0017420B"/>
    <w:rsid w:val="001743A6"/>
    <w:rsid w:val="0019552B"/>
    <w:rsid w:val="001A1316"/>
    <w:rsid w:val="001A58F7"/>
    <w:rsid w:val="001B26CD"/>
    <w:rsid w:val="001B47FB"/>
    <w:rsid w:val="001C525C"/>
    <w:rsid w:val="001E4814"/>
    <w:rsid w:val="001F43D8"/>
    <w:rsid w:val="001F69BB"/>
    <w:rsid w:val="0020344E"/>
    <w:rsid w:val="00217977"/>
    <w:rsid w:val="00222775"/>
    <w:rsid w:val="00223D56"/>
    <w:rsid w:val="00225E9E"/>
    <w:rsid w:val="002319C9"/>
    <w:rsid w:val="00235DDA"/>
    <w:rsid w:val="00243A70"/>
    <w:rsid w:val="002456BF"/>
    <w:rsid w:val="00247B07"/>
    <w:rsid w:val="00252DD7"/>
    <w:rsid w:val="002568D5"/>
    <w:rsid w:val="0026664B"/>
    <w:rsid w:val="00275986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2F6622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64294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78F1"/>
    <w:rsid w:val="00421C5C"/>
    <w:rsid w:val="00424A5A"/>
    <w:rsid w:val="00452C1F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A77B0"/>
    <w:rsid w:val="004B0888"/>
    <w:rsid w:val="004C0EED"/>
    <w:rsid w:val="004C1F92"/>
    <w:rsid w:val="004C3B81"/>
    <w:rsid w:val="004D2A21"/>
    <w:rsid w:val="004E5901"/>
    <w:rsid w:val="004E7F96"/>
    <w:rsid w:val="004F1D8F"/>
    <w:rsid w:val="004F304B"/>
    <w:rsid w:val="00500E62"/>
    <w:rsid w:val="00507FC2"/>
    <w:rsid w:val="0051134F"/>
    <w:rsid w:val="00513E0C"/>
    <w:rsid w:val="00531F24"/>
    <w:rsid w:val="00534FC8"/>
    <w:rsid w:val="005442FD"/>
    <w:rsid w:val="00547CCA"/>
    <w:rsid w:val="0055334A"/>
    <w:rsid w:val="0056218D"/>
    <w:rsid w:val="00563DE0"/>
    <w:rsid w:val="00566B36"/>
    <w:rsid w:val="005717FD"/>
    <w:rsid w:val="00577762"/>
    <w:rsid w:val="00580FFE"/>
    <w:rsid w:val="00585D27"/>
    <w:rsid w:val="0058731A"/>
    <w:rsid w:val="00587691"/>
    <w:rsid w:val="0059010F"/>
    <w:rsid w:val="0059248B"/>
    <w:rsid w:val="00595115"/>
    <w:rsid w:val="005B0F7B"/>
    <w:rsid w:val="005B3956"/>
    <w:rsid w:val="005B5E4D"/>
    <w:rsid w:val="005C0A1F"/>
    <w:rsid w:val="005C3C59"/>
    <w:rsid w:val="005D0C85"/>
    <w:rsid w:val="005D5F3F"/>
    <w:rsid w:val="005E595A"/>
    <w:rsid w:val="005E5D2D"/>
    <w:rsid w:val="005E642E"/>
    <w:rsid w:val="005F3D28"/>
    <w:rsid w:val="005F52AE"/>
    <w:rsid w:val="005F6E16"/>
    <w:rsid w:val="00602A30"/>
    <w:rsid w:val="006054BF"/>
    <w:rsid w:val="00617301"/>
    <w:rsid w:val="00646289"/>
    <w:rsid w:val="00646C58"/>
    <w:rsid w:val="0065320E"/>
    <w:rsid w:val="00664752"/>
    <w:rsid w:val="00673ABE"/>
    <w:rsid w:val="006777CE"/>
    <w:rsid w:val="006934E1"/>
    <w:rsid w:val="00694200"/>
    <w:rsid w:val="0069616E"/>
    <w:rsid w:val="006A0604"/>
    <w:rsid w:val="006A317F"/>
    <w:rsid w:val="006A57EE"/>
    <w:rsid w:val="006A7042"/>
    <w:rsid w:val="006A7123"/>
    <w:rsid w:val="006B0F4B"/>
    <w:rsid w:val="006D456D"/>
    <w:rsid w:val="006D7313"/>
    <w:rsid w:val="006E5C14"/>
    <w:rsid w:val="006F408B"/>
    <w:rsid w:val="00703777"/>
    <w:rsid w:val="00716804"/>
    <w:rsid w:val="00737A20"/>
    <w:rsid w:val="0074381E"/>
    <w:rsid w:val="00754417"/>
    <w:rsid w:val="0078521D"/>
    <w:rsid w:val="00795DC2"/>
    <w:rsid w:val="007A5596"/>
    <w:rsid w:val="007B750A"/>
    <w:rsid w:val="007C0CD1"/>
    <w:rsid w:val="007C220B"/>
    <w:rsid w:val="007C257B"/>
    <w:rsid w:val="007C27C2"/>
    <w:rsid w:val="007C4FF4"/>
    <w:rsid w:val="007C5704"/>
    <w:rsid w:val="007E011D"/>
    <w:rsid w:val="007E0D5B"/>
    <w:rsid w:val="007E2276"/>
    <w:rsid w:val="007F218B"/>
    <w:rsid w:val="00810D0C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90F33"/>
    <w:rsid w:val="008A2192"/>
    <w:rsid w:val="008A584F"/>
    <w:rsid w:val="008B0BE1"/>
    <w:rsid w:val="008C6A37"/>
    <w:rsid w:val="008D0B65"/>
    <w:rsid w:val="008D7A7F"/>
    <w:rsid w:val="008E4B67"/>
    <w:rsid w:val="008F0A65"/>
    <w:rsid w:val="008F7F2F"/>
    <w:rsid w:val="0090543A"/>
    <w:rsid w:val="00912DED"/>
    <w:rsid w:val="0091709C"/>
    <w:rsid w:val="009224E2"/>
    <w:rsid w:val="00922C71"/>
    <w:rsid w:val="00931ADF"/>
    <w:rsid w:val="009339F5"/>
    <w:rsid w:val="00933DD8"/>
    <w:rsid w:val="00934F3E"/>
    <w:rsid w:val="00937D77"/>
    <w:rsid w:val="00944267"/>
    <w:rsid w:val="00946BC0"/>
    <w:rsid w:val="00951511"/>
    <w:rsid w:val="0095553A"/>
    <w:rsid w:val="00962587"/>
    <w:rsid w:val="009822BE"/>
    <w:rsid w:val="00990C9A"/>
    <w:rsid w:val="009970B7"/>
    <w:rsid w:val="009A08A7"/>
    <w:rsid w:val="009A3307"/>
    <w:rsid w:val="009A41AC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0550"/>
    <w:rsid w:val="009E6A2C"/>
    <w:rsid w:val="009F0927"/>
    <w:rsid w:val="00A01A53"/>
    <w:rsid w:val="00A020B8"/>
    <w:rsid w:val="00A02970"/>
    <w:rsid w:val="00A1342C"/>
    <w:rsid w:val="00A15BB3"/>
    <w:rsid w:val="00A169EE"/>
    <w:rsid w:val="00A25266"/>
    <w:rsid w:val="00A325D0"/>
    <w:rsid w:val="00A37FB3"/>
    <w:rsid w:val="00A410A3"/>
    <w:rsid w:val="00A43941"/>
    <w:rsid w:val="00A47777"/>
    <w:rsid w:val="00A50357"/>
    <w:rsid w:val="00A52A4D"/>
    <w:rsid w:val="00A54C43"/>
    <w:rsid w:val="00A54C55"/>
    <w:rsid w:val="00A62D36"/>
    <w:rsid w:val="00A64852"/>
    <w:rsid w:val="00A74096"/>
    <w:rsid w:val="00A8081F"/>
    <w:rsid w:val="00A81B34"/>
    <w:rsid w:val="00A82A7D"/>
    <w:rsid w:val="00A8708A"/>
    <w:rsid w:val="00A918A4"/>
    <w:rsid w:val="00A91C28"/>
    <w:rsid w:val="00A96D04"/>
    <w:rsid w:val="00AB093E"/>
    <w:rsid w:val="00AB385B"/>
    <w:rsid w:val="00AB791A"/>
    <w:rsid w:val="00AC0500"/>
    <w:rsid w:val="00AC3444"/>
    <w:rsid w:val="00AC4DF4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370F4"/>
    <w:rsid w:val="00B4348E"/>
    <w:rsid w:val="00B45D35"/>
    <w:rsid w:val="00B47C04"/>
    <w:rsid w:val="00B53EC1"/>
    <w:rsid w:val="00B5771C"/>
    <w:rsid w:val="00B66FA2"/>
    <w:rsid w:val="00B73DE5"/>
    <w:rsid w:val="00B757C2"/>
    <w:rsid w:val="00B90553"/>
    <w:rsid w:val="00B91BBF"/>
    <w:rsid w:val="00B93818"/>
    <w:rsid w:val="00BA2588"/>
    <w:rsid w:val="00BA3C6F"/>
    <w:rsid w:val="00BA407A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1455B"/>
    <w:rsid w:val="00C148BB"/>
    <w:rsid w:val="00C149C4"/>
    <w:rsid w:val="00C17C17"/>
    <w:rsid w:val="00C24562"/>
    <w:rsid w:val="00C37827"/>
    <w:rsid w:val="00C378B1"/>
    <w:rsid w:val="00C435D4"/>
    <w:rsid w:val="00C50520"/>
    <w:rsid w:val="00C63085"/>
    <w:rsid w:val="00C64EC0"/>
    <w:rsid w:val="00C70269"/>
    <w:rsid w:val="00C73CFA"/>
    <w:rsid w:val="00C77359"/>
    <w:rsid w:val="00C8411D"/>
    <w:rsid w:val="00C84F06"/>
    <w:rsid w:val="00C96C5A"/>
    <w:rsid w:val="00CA1B19"/>
    <w:rsid w:val="00CA1BC8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CF57E8"/>
    <w:rsid w:val="00D055B0"/>
    <w:rsid w:val="00D07F2D"/>
    <w:rsid w:val="00D13688"/>
    <w:rsid w:val="00D14C1F"/>
    <w:rsid w:val="00D15FA8"/>
    <w:rsid w:val="00D23D4D"/>
    <w:rsid w:val="00D27938"/>
    <w:rsid w:val="00D27B83"/>
    <w:rsid w:val="00D51CC5"/>
    <w:rsid w:val="00D55851"/>
    <w:rsid w:val="00D574FF"/>
    <w:rsid w:val="00D608C7"/>
    <w:rsid w:val="00D8056F"/>
    <w:rsid w:val="00D877BB"/>
    <w:rsid w:val="00D91D08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0F72"/>
    <w:rsid w:val="00DF2103"/>
    <w:rsid w:val="00DF4EF1"/>
    <w:rsid w:val="00DF6570"/>
    <w:rsid w:val="00E01833"/>
    <w:rsid w:val="00E27103"/>
    <w:rsid w:val="00E37F65"/>
    <w:rsid w:val="00E407D2"/>
    <w:rsid w:val="00E51564"/>
    <w:rsid w:val="00E62551"/>
    <w:rsid w:val="00E6262F"/>
    <w:rsid w:val="00E65451"/>
    <w:rsid w:val="00E65BBC"/>
    <w:rsid w:val="00E74166"/>
    <w:rsid w:val="00E75826"/>
    <w:rsid w:val="00E804B9"/>
    <w:rsid w:val="00E8177A"/>
    <w:rsid w:val="00E839D5"/>
    <w:rsid w:val="00E872DD"/>
    <w:rsid w:val="00E90B38"/>
    <w:rsid w:val="00E90C89"/>
    <w:rsid w:val="00E95C79"/>
    <w:rsid w:val="00EA4975"/>
    <w:rsid w:val="00EA6A5C"/>
    <w:rsid w:val="00EB06BE"/>
    <w:rsid w:val="00EB6AAF"/>
    <w:rsid w:val="00EE59CA"/>
    <w:rsid w:val="00F11449"/>
    <w:rsid w:val="00F211C0"/>
    <w:rsid w:val="00F224AE"/>
    <w:rsid w:val="00F5220F"/>
    <w:rsid w:val="00F54E60"/>
    <w:rsid w:val="00F5688C"/>
    <w:rsid w:val="00F619E7"/>
    <w:rsid w:val="00F67141"/>
    <w:rsid w:val="00F720C0"/>
    <w:rsid w:val="00F729CE"/>
    <w:rsid w:val="00F81314"/>
    <w:rsid w:val="00F86B2D"/>
    <w:rsid w:val="00F86C27"/>
    <w:rsid w:val="00F86DF0"/>
    <w:rsid w:val="00F943D8"/>
    <w:rsid w:val="00FB4035"/>
    <w:rsid w:val="00FC57FA"/>
    <w:rsid w:val="00FE3D89"/>
    <w:rsid w:val="00FE7BA7"/>
    <w:rsid w:val="00FF1C3D"/>
    <w:rsid w:val="1B4D68AD"/>
    <w:rsid w:val="1D681DEC"/>
    <w:rsid w:val="20D32EF5"/>
    <w:rsid w:val="268758BC"/>
    <w:rsid w:val="2B244D31"/>
    <w:rsid w:val="3557428F"/>
    <w:rsid w:val="3D407E3C"/>
    <w:rsid w:val="3DCF0A74"/>
    <w:rsid w:val="3FCB28EB"/>
    <w:rsid w:val="40956B0D"/>
    <w:rsid w:val="42BD4DB5"/>
    <w:rsid w:val="4E1E02D7"/>
    <w:rsid w:val="4E4E3DB1"/>
    <w:rsid w:val="4F204931"/>
    <w:rsid w:val="5B6417EA"/>
    <w:rsid w:val="693A5856"/>
    <w:rsid w:val="6A2D5246"/>
    <w:rsid w:val="73A82400"/>
    <w:rsid w:val="748F20DD"/>
    <w:rsid w:val="77EFDD89"/>
    <w:rsid w:val="7ECE503D"/>
    <w:rsid w:val="7FBFB80A"/>
    <w:rsid w:val="9DDCB04D"/>
    <w:rsid w:val="BDEB7FB1"/>
    <w:rsid w:val="BFBF6BBA"/>
    <w:rsid w:val="DEFFAB64"/>
    <w:rsid w:val="F51C3534"/>
    <w:rsid w:val="FDFE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S Serif" w:hAnsi="MS Serif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MS Serif" w:hAnsi="MS Serif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alloon Text"/>
    <w:basedOn w:val="1"/>
    <w:link w:val="16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10">
    <w:name w:val="page number"/>
    <w:uiPriority w:val="0"/>
  </w:style>
  <w:style w:type="paragraph" w:customStyle="1" w:styleId="12">
    <w:name w:val="Char Char"/>
    <w:basedOn w:val="4"/>
    <w:uiPriority w:val="0"/>
    <w:pPr>
      <w:adjustRightInd/>
      <w:spacing w:line="240" w:lineRule="auto"/>
      <w:jc w:val="both"/>
      <w:textAlignment w:val="auto"/>
    </w:pPr>
  </w:style>
  <w:style w:type="paragraph" w:styleId="13">
    <w:name w:val="List Paragraph"/>
    <w:basedOn w:val="1"/>
    <w:qFormat/>
    <w:uiPriority w:val="34"/>
    <w:pPr>
      <w:adjustRightInd/>
      <w:spacing w:line="240" w:lineRule="auto"/>
      <w:ind w:firstLine="420" w:firstLine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标题 2 Char"/>
    <w:link w:val="3"/>
    <w:uiPriority w:val="9"/>
    <w:rPr>
      <w:rFonts w:ascii="Cambria" w:hAnsi="Cambria"/>
      <w:b/>
      <w:bCs/>
      <w:sz w:val="32"/>
      <w:szCs w:val="32"/>
    </w:rPr>
  </w:style>
  <w:style w:type="character" w:customStyle="1" w:styleId="16">
    <w:name w:val="批注框文本 Char"/>
    <w:link w:val="5"/>
    <w:uiPriority w:val="0"/>
    <w:rPr>
      <w:sz w:val="18"/>
      <w:szCs w:val="18"/>
    </w:rPr>
  </w:style>
  <w:style w:type="character" w:customStyle="1" w:styleId="17">
    <w:name w:val="页脚 Char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2024-02-25T01:39:00Z</dcterms:created>
  <dc:creator>朱春礼</dc:creator>
  <cp:lastModifiedBy>张瑶</cp:lastModifiedBy>
  <cp:lastPrinted>2026-02-06T08:22:00Z</cp:lastPrinted>
  <dcterms:modified xsi:type="dcterms:W3CDTF">2026-02-09T01:36:50Z</dcterms:modified>
  <dc:title>附件1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