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AC11">
      <w:pPr>
        <w:spacing w:line="580" w:lineRule="exact"/>
        <w:jc w:val="center"/>
        <w:rPr>
          <w:rFonts w:hint="eastAsia" w:eastAsia="黑体"/>
          <w:w w:val="95"/>
          <w:sz w:val="44"/>
          <w:szCs w:val="44"/>
        </w:rPr>
      </w:pPr>
    </w:p>
    <w:p w14:paraId="68E27DCF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2CB9F7C7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34832131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18E40FAC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65DCE4B5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11AAC6B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FF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天津市滨海新区知识产权保护中心</w:t>
      </w:r>
    </w:p>
    <w:p w14:paraId="7142FAA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14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2026年部门预算</w:t>
      </w:r>
    </w:p>
    <w:bookmarkEnd w:id="14"/>
    <w:p w14:paraId="5ABFA04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48"/>
          <w:szCs w:val="48"/>
        </w:rPr>
      </w:pPr>
    </w:p>
    <w:p w14:paraId="4B6BC1F7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4EC05932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6CF7473A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664CACF3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70C272A2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380021EB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19543C57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09329DF9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2D5419A8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252802EA"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 w14:paraId="4DB62905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4FD1381C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07E0C520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60A6359A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 w14:paraId="521BD701">
      <w:pPr>
        <w:spacing w:line="600" w:lineRule="exact"/>
        <w:rPr>
          <w:rFonts w:hint="eastAsia" w:ascii="黑体" w:eastAsia="黑体"/>
          <w:sz w:val="30"/>
          <w:szCs w:val="30"/>
        </w:rPr>
      </w:pPr>
    </w:p>
    <w:p w14:paraId="44585F70"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第一部分  概 况</w:t>
      </w:r>
    </w:p>
    <w:p w14:paraId="17EBBCAB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一、主要职责</w:t>
      </w:r>
    </w:p>
    <w:p w14:paraId="2B634391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二、机构设置情况</w:t>
      </w:r>
    </w:p>
    <w:p w14:paraId="22272E27"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第二部分  2026年部门预算情况说明</w:t>
      </w:r>
    </w:p>
    <w:p w14:paraId="46408724">
      <w:pPr>
        <w:spacing w:line="600" w:lineRule="exact"/>
        <w:ind w:firstLine="594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一、关于收支总表的说明</w:t>
      </w:r>
    </w:p>
    <w:p w14:paraId="467E8B8B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二、关于收入总表的说明</w:t>
      </w:r>
    </w:p>
    <w:p w14:paraId="384F97F0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三、关于支出总表的说明</w:t>
      </w:r>
    </w:p>
    <w:p w14:paraId="13F32192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四、关于财政拨款收支总表的说明</w:t>
      </w:r>
    </w:p>
    <w:p w14:paraId="013FD82F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五、关于一般公共预算支出表的说明</w:t>
      </w:r>
    </w:p>
    <w:p w14:paraId="12B3E81F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六、关于一般公共预算基本支出表的说明</w:t>
      </w:r>
    </w:p>
    <w:p w14:paraId="2507748D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</w:t>
      </w:r>
      <w:r>
        <w:rPr>
          <w:rFonts w:hint="eastAsia" w:ascii="仿宋_GB2312" w:eastAsia="仿宋_GB2312"/>
          <w:spacing w:val="-20"/>
          <w:sz w:val="30"/>
          <w:szCs w:val="30"/>
        </w:rPr>
        <w:t>关于一般公共预算“三公”经费支出表的说明</w:t>
      </w:r>
    </w:p>
    <w:p w14:paraId="7E000926">
      <w:pPr>
        <w:spacing w:line="600" w:lineRule="exact"/>
        <w:ind w:left="1200" w:leftChars="250" w:hanging="600" w:hangingChars="200"/>
        <w:rPr>
          <w:rFonts w:hint="eastAsia" w:ascii="仿宋_GB2312" w:eastAsia="仿宋_GB2312"/>
          <w:spacing w:val="-2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八、关于政府性基金预算支出表的说明</w:t>
      </w:r>
    </w:p>
    <w:p w14:paraId="4DEBE859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九、关于国有资本经营预算支出表的说明</w:t>
      </w:r>
    </w:p>
    <w:p w14:paraId="381DE9BD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十、其他重要事项的情况说明</w:t>
      </w:r>
    </w:p>
    <w:p w14:paraId="4C893D53"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第三部分  名词解释</w:t>
      </w:r>
    </w:p>
    <w:p w14:paraId="5362A93A"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第四部分  2026年部门预算表</w:t>
      </w:r>
    </w:p>
    <w:p w14:paraId="5A005A26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年收支总表</w:t>
      </w:r>
    </w:p>
    <w:p w14:paraId="143F3D84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年收入总表</w:t>
      </w:r>
    </w:p>
    <w:p w14:paraId="625CA089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年支出总表</w:t>
      </w:r>
    </w:p>
    <w:p w14:paraId="41F3A7E7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年财政拨款收支总表</w:t>
      </w:r>
    </w:p>
    <w:p w14:paraId="1D8DCAF4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年一般公共预算支出表</w:t>
      </w:r>
    </w:p>
    <w:p w14:paraId="5FABDAA8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年一般公共预算基本支出表</w:t>
      </w:r>
    </w:p>
    <w:p w14:paraId="088F53B7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hint="eastAsia" w:ascii="仿宋_GB2312" w:eastAsia="仿宋_GB2312"/>
          <w:sz w:val="30"/>
          <w:szCs w:val="30"/>
        </w:rPr>
        <w:t>年一般公共预算“三公”经费支出表</w:t>
      </w:r>
    </w:p>
    <w:p w14:paraId="42CE5400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年政府性基金预算支出表</w:t>
      </w:r>
    </w:p>
    <w:p w14:paraId="77B32AB1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hint="eastAsia" w:ascii="仿宋_GB2312" w:eastAsia="仿宋_GB2312"/>
          <w:sz w:val="30"/>
          <w:szCs w:val="30"/>
        </w:rPr>
        <w:t>年国有资本经营预算支出表</w:t>
      </w:r>
    </w:p>
    <w:p w14:paraId="5E4381FB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年项目支出表</w:t>
      </w:r>
    </w:p>
    <w:p w14:paraId="3EAA12F8">
      <w:pPr>
        <w:spacing w:line="60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十一、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年政府采购预算表</w:t>
      </w:r>
    </w:p>
    <w:p w14:paraId="7FF0D337">
      <w:pPr>
        <w:spacing w:line="600" w:lineRule="exact"/>
        <w:ind w:firstLine="594" w:firstLineChars="198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十二、关于空表的说明</w:t>
      </w:r>
    </w:p>
    <w:p w14:paraId="15F6CDA0"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 w14:paraId="1D4E5379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第一部分  概 况</w:t>
      </w:r>
      <w:bookmarkEnd w:id="0"/>
    </w:p>
    <w:p w14:paraId="1B5D2B2E">
      <w:pPr>
        <w:spacing w:line="600" w:lineRule="exact"/>
        <w:rPr>
          <w:rFonts w:hint="eastAsia"/>
        </w:rPr>
      </w:pPr>
    </w:p>
    <w:p w14:paraId="71F5A337"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bookmarkStart w:id="1" w:name="_Toc78784555"/>
      <w:r>
        <w:rPr>
          <w:rFonts w:hint="eastAsia" w:ascii="仿宋_GB2312" w:eastAsia="仿宋_GB2312"/>
          <w:b/>
          <w:sz w:val="30"/>
          <w:szCs w:val="30"/>
        </w:rPr>
        <w:t>一、主要职责</w:t>
      </w:r>
      <w:bookmarkEnd w:id="1"/>
    </w:p>
    <w:p w14:paraId="484EF510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bookmarkStart w:id="2" w:name="_Toc78784556"/>
      <w:r>
        <w:rPr>
          <w:rFonts w:hint="eastAsia" w:ascii="仿宋_GB2312" w:eastAsia="仿宋_GB2312"/>
          <w:sz w:val="30"/>
          <w:szCs w:val="30"/>
        </w:rPr>
        <w:t>（一）负责专利快速预审和快速确权相关服务工作。对相关领域专利申请、专利复审和无效宣告案件请求、专利权评价报告请求进行预审。</w:t>
      </w:r>
    </w:p>
    <w:p w14:paraId="62900779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（二）负责知识产权保护协作相关服务工作。协助开展知识产权行政执法、知识产权维权援助、专利侵权判定咨询服务以及知识产权信用体系建设相关服务工作。</w:t>
      </w:r>
    </w:p>
    <w:p w14:paraId="10CCAFB7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（三）负责专利导航、专利分析预警、高价值专利培育运营等相关服务工作。</w:t>
      </w:r>
    </w:p>
    <w:p w14:paraId="0365C8DB">
      <w:pPr>
        <w:spacing w:line="600" w:lineRule="exact"/>
        <w:ind w:firstLine="600" w:firstLineChars="200"/>
        <w:rPr>
          <w:rFonts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（四）完成区知识产权局交办的其他任务。</w:t>
      </w:r>
    </w:p>
    <w:p w14:paraId="6CCE3A05"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二、机构设置</w:t>
      </w:r>
      <w:bookmarkEnd w:id="2"/>
      <w:r>
        <w:rPr>
          <w:rFonts w:hint="eastAsia" w:ascii="仿宋_GB2312" w:eastAsia="仿宋_GB2312"/>
          <w:b/>
          <w:sz w:val="30"/>
          <w:szCs w:val="30"/>
        </w:rPr>
        <w:t>情况</w:t>
      </w:r>
    </w:p>
    <w:p w14:paraId="740968EF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</w:t>
      </w:r>
      <w:r>
        <w:rPr>
          <w:rFonts w:ascii="仿宋_GB2312" w:eastAsia="仿宋_GB2312"/>
          <w:sz w:val="30"/>
          <w:szCs w:val="30"/>
        </w:rPr>
        <w:t>部门内设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>6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sz w:val="30"/>
          <w:szCs w:val="30"/>
        </w:rPr>
        <w:t>个职能处室；下辖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个预算单位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03C6E0ED">
      <w:pPr>
        <w:spacing w:line="600" w:lineRule="exact"/>
        <w:ind w:firstLine="6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纳入本部门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hint="eastAsia" w:ascii="仿宋_GB2312" w:eastAsia="仿宋_GB2312"/>
          <w:sz w:val="30"/>
          <w:szCs w:val="30"/>
        </w:rPr>
        <w:t>年部门预算编制范围的预算单位包括：</w:t>
      </w:r>
    </w:p>
    <w:p w14:paraId="04004F4F">
      <w:pPr>
        <w:spacing w:line="600" w:lineRule="exact"/>
        <w:ind w:firstLine="6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1.天津市滨海新区知识产权保护中心</w:t>
      </w:r>
    </w:p>
    <w:p w14:paraId="547A6131">
      <w:pPr>
        <w:spacing w:line="600" w:lineRule="exact"/>
        <w:ind w:firstLine="600"/>
        <w:jc w:val="both"/>
        <w:rPr>
          <w:rFonts w:hint="eastAsia" w:ascii="仿宋_GB2312" w:eastAsia="仿宋_GB2312"/>
          <w:sz w:val="30"/>
          <w:szCs w:val="30"/>
        </w:rPr>
      </w:pPr>
    </w:p>
    <w:p w14:paraId="45627837">
      <w:pPr>
        <w:spacing w:line="600" w:lineRule="exact"/>
        <w:jc w:val="both"/>
        <w:rPr>
          <w:rFonts w:hint="eastAsia" w:eastAsia="黑体"/>
          <w:w w:val="95"/>
          <w:sz w:val="44"/>
          <w:szCs w:val="44"/>
        </w:rPr>
      </w:pPr>
    </w:p>
    <w:p w14:paraId="2798E0CF">
      <w:pPr>
        <w:spacing w:line="600" w:lineRule="exact"/>
        <w:jc w:val="both"/>
        <w:rPr>
          <w:rFonts w:hint="eastAsia" w:eastAsia="黑体"/>
          <w:w w:val="95"/>
          <w:sz w:val="44"/>
          <w:szCs w:val="44"/>
        </w:rPr>
      </w:pPr>
    </w:p>
    <w:p w14:paraId="3B4FC6C7">
      <w:pPr>
        <w:spacing w:line="600" w:lineRule="exact"/>
        <w:jc w:val="both"/>
        <w:rPr>
          <w:rFonts w:hint="eastAsia" w:eastAsia="黑体"/>
          <w:w w:val="95"/>
          <w:sz w:val="44"/>
          <w:szCs w:val="44"/>
        </w:rPr>
      </w:pPr>
    </w:p>
    <w:p w14:paraId="721A0ADB">
      <w:pPr>
        <w:spacing w:line="600" w:lineRule="exact"/>
        <w:jc w:val="both"/>
        <w:rPr>
          <w:rFonts w:hint="eastAsia" w:eastAsia="黑体"/>
          <w:w w:val="95"/>
          <w:sz w:val="44"/>
          <w:szCs w:val="44"/>
        </w:rPr>
      </w:pPr>
    </w:p>
    <w:p w14:paraId="488871B1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3" w:name="_Toc78784570"/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 xml:space="preserve">部分  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说明</w:t>
      </w:r>
      <w:bookmarkEnd w:id="3"/>
    </w:p>
    <w:p w14:paraId="11CB98F1"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 w14:paraId="70FCB0A4">
      <w:pPr>
        <w:spacing w:line="6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bookmarkStart w:id="4" w:name="_Toc78784571"/>
      <w:r>
        <w:rPr>
          <w:rFonts w:hint="eastAsia" w:ascii="仿宋_GB2312" w:eastAsia="仿宋_GB2312"/>
          <w:b/>
          <w:sz w:val="30"/>
          <w:szCs w:val="30"/>
        </w:rPr>
        <w:t>一、</w:t>
      </w:r>
      <w:bookmarkEnd w:id="4"/>
      <w:r>
        <w:rPr>
          <w:rFonts w:hint="eastAsia" w:ascii="仿宋_GB2312" w:eastAsia="仿宋_GB2312"/>
          <w:b/>
          <w:sz w:val="30"/>
          <w:szCs w:val="30"/>
        </w:rPr>
        <w:t>关于收支总表的说明</w:t>
      </w:r>
    </w:p>
    <w:p w14:paraId="0BC83341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1222.61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万元、</w:t>
      </w:r>
      <w:r>
        <w:rPr>
          <w:rFonts w:hint="eastAsia" w:ascii="仿宋_GB2312" w:eastAsia="仿宋_GB2312"/>
          <w:sz w:val="30"/>
          <w:szCs w:val="30"/>
        </w:rPr>
        <w:t>政府性基金预算拨款收入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万元、</w:t>
      </w:r>
      <w:r>
        <w:rPr>
          <w:rFonts w:hint="eastAsia" w:ascii="仿宋_GB2312" w:eastAsia="仿宋_GB2312"/>
          <w:sz w:val="30"/>
          <w:szCs w:val="30"/>
        </w:rPr>
        <w:t>国有资本经营预算拨款收入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、财政专户管理资金收入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、事业收入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万元、</w:t>
      </w:r>
      <w:r>
        <w:rPr>
          <w:rFonts w:hint="eastAsia" w:ascii="仿宋_GB2312" w:eastAsia="仿宋_GB2312"/>
          <w:sz w:val="30"/>
          <w:szCs w:val="30"/>
        </w:rPr>
        <w:t>事业单位经营收入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sz w:val="30"/>
          <w:szCs w:val="30"/>
        </w:rPr>
        <w:t>万元、</w:t>
      </w:r>
      <w:r>
        <w:rPr>
          <w:rFonts w:hint="eastAsia" w:ascii="仿宋_GB2312" w:eastAsia="仿宋_GB2312"/>
          <w:sz w:val="30"/>
          <w:szCs w:val="30"/>
        </w:rPr>
        <w:t>上级补助收入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万元、</w:t>
      </w:r>
      <w:r>
        <w:rPr>
          <w:rFonts w:hint="eastAsia" w:ascii="仿宋_GB2312" w:eastAsia="仿宋_GB2312"/>
          <w:sz w:val="30"/>
          <w:szCs w:val="30"/>
        </w:rPr>
        <w:t>附属单位上缴收入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、其他收入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30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上年结转结余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；支出包括：一般公共服务支出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1252.61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。本部门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hint="eastAsia" w:ascii="仿宋_GB2312" w:eastAsia="仿宋_GB2312"/>
          <w:sz w:val="30"/>
          <w:szCs w:val="30"/>
        </w:rPr>
        <w:t>年收支总预算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1252.61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CC5CB95">
      <w:pPr>
        <w:spacing w:line="6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bookmarkStart w:id="5" w:name="_Toc78784572"/>
      <w:r>
        <w:rPr>
          <w:rFonts w:hint="eastAsia" w:ascii="仿宋_GB2312" w:eastAsia="仿宋_GB2312"/>
          <w:b/>
          <w:sz w:val="30"/>
          <w:szCs w:val="30"/>
        </w:rPr>
        <w:t>二、</w:t>
      </w:r>
      <w:bookmarkEnd w:id="5"/>
      <w:r>
        <w:rPr>
          <w:rFonts w:hint="eastAsia" w:ascii="仿宋_GB2312" w:eastAsia="仿宋_GB2312"/>
          <w:b/>
          <w:sz w:val="30"/>
          <w:szCs w:val="30"/>
        </w:rPr>
        <w:t>关于收入总表的说明</w:t>
      </w:r>
    </w:p>
    <w:p w14:paraId="5E8C7AEB">
      <w:pPr>
        <w:spacing w:line="600" w:lineRule="exact"/>
        <w:ind w:firstLine="600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本部门</w:t>
      </w:r>
      <w:r>
        <w:rPr>
          <w:rFonts w:ascii="仿宋_GB2312" w:eastAsia="仿宋_GB2312"/>
          <w:sz w:val="30"/>
          <w:szCs w:val="30"/>
          <w:lang w:val="en"/>
        </w:rPr>
        <w:t>2026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</w:rPr>
        <w:t>部门预算</w:t>
      </w:r>
      <w:r>
        <w:rPr>
          <w:rFonts w:ascii="仿宋_GB2312" w:eastAsia="仿宋_GB2312"/>
          <w:sz w:val="30"/>
          <w:szCs w:val="30"/>
        </w:rPr>
        <w:t>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1252.61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万元，与</w:t>
      </w:r>
      <w:r>
        <w:rPr>
          <w:rFonts w:hint="eastAsia" w:ascii="仿宋_GB2312" w:eastAsia="仿宋_GB2312"/>
          <w:sz w:val="30"/>
          <w:szCs w:val="30"/>
        </w:rPr>
        <w:t>2025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</w:rPr>
        <w:t>预</w:t>
      </w:r>
      <w:r>
        <w:rPr>
          <w:rFonts w:ascii="仿宋_GB2312" w:eastAsia="仿宋_GB2312"/>
          <w:sz w:val="30"/>
          <w:szCs w:val="30"/>
        </w:rPr>
        <w:t>算相比增加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>88.89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</w:t>
      </w:r>
      <w:r>
        <w:rPr>
          <w:rFonts w:hint="eastAsia" w:ascii="仿宋_GB2312" w:eastAsia="仿宋_GB2312"/>
          <w:sz w:val="30"/>
          <w:szCs w:val="30"/>
        </w:rPr>
        <w:t>主要原因是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>2025年新招录工作人员5名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其中：</w:t>
      </w:r>
      <w:r>
        <w:rPr>
          <w:rFonts w:hint="eastAsia" w:ascii="仿宋_GB2312" w:eastAsia="仿宋_GB2312"/>
          <w:sz w:val="30"/>
          <w:szCs w:val="30"/>
        </w:rPr>
        <w:t>上年结转结余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</w:rPr>
        <w:t>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%；一般公共预算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1222.61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97.61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%；政府性基金预算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%；国有资本经营预算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</w:t>
      </w:r>
      <w:r>
        <w:rPr>
          <w:rFonts w:hint="eastAsia" w:ascii="仿宋_GB2312" w:eastAsia="仿宋_GB2312"/>
          <w:sz w:val="30"/>
          <w:szCs w:val="30"/>
        </w:rPr>
        <w:t>财政专户管理资金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%；事业收入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</w:t>
      </w:r>
      <w:r>
        <w:rPr>
          <w:rFonts w:hint="eastAsia" w:ascii="仿宋_GB2312" w:eastAsia="仿宋_GB2312"/>
          <w:sz w:val="30"/>
          <w:szCs w:val="30"/>
        </w:rPr>
        <w:t>事业单位</w:t>
      </w:r>
      <w:r>
        <w:rPr>
          <w:rFonts w:ascii="仿宋_GB2312" w:eastAsia="仿宋_GB2312"/>
          <w:sz w:val="30"/>
          <w:szCs w:val="30"/>
        </w:rPr>
        <w:t>经营收入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sz w:val="30"/>
          <w:szCs w:val="30"/>
        </w:rPr>
        <w:t>%；上级补助收入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%；附属单位上缴收入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</w:rPr>
        <w:t>%；其他收入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30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2.39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</w:rPr>
        <w:t>%</w:t>
      </w:r>
      <w:r>
        <w:rPr>
          <w:rFonts w:hint="eastAsia" w:ascii="仿宋_GB2312" w:eastAsia="仿宋_GB2312"/>
          <w:sz w:val="30"/>
          <w:szCs w:val="30"/>
        </w:rPr>
        <w:t>。</w:t>
      </w:r>
      <w:bookmarkStart w:id="6" w:name="_Toc78784573"/>
    </w:p>
    <w:p w14:paraId="4F6043BD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关于支出总表的说明</w:t>
      </w:r>
    </w:p>
    <w:p w14:paraId="3E59D591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1252.61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88.89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>2025年新招录工作人员5名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931.61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74.37  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321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25.63 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</w:t>
      </w:r>
    </w:p>
    <w:p w14:paraId="6AD330B5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关于财政拨款收支总表的说明</w:t>
      </w:r>
    </w:p>
    <w:p w14:paraId="6036A354"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73.69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2025年新招录工作人员5名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。收入包括：一般公共预算拨款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万元、上年结转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0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73.69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2025年新招录工作人员5名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 w14:paraId="3E33104D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关于一般公共预算支出表的说明</w:t>
      </w:r>
    </w:p>
    <w:p w14:paraId="522C817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（一）总体情况</w:t>
      </w:r>
    </w:p>
    <w:p w14:paraId="2E9D94FC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1222.61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73.69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2025年新招录工作人员5名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F5146F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（二）具体情况</w:t>
      </w:r>
    </w:p>
    <w:p w14:paraId="1246199F">
      <w:pPr>
        <w:numPr>
          <w:ilvl w:val="0"/>
          <w:numId w:val="1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</w:rPr>
        <w:t>一般公共服务支出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年预算相比增加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73.69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2025年新招录工作人员5名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 w14:paraId="02D55F5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</w:rPr>
        <w:t>知识产权事务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万元，包括：“</w:t>
      </w:r>
      <w:r>
        <w:rPr>
          <w:rFonts w:hint="eastAsia" w:ascii="仿宋_GB2312" w:eastAsia="仿宋_GB2312"/>
          <w:sz w:val="30"/>
          <w:szCs w:val="30"/>
        </w:rPr>
        <w:t>事业运行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1222.61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工资福利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支出，对个人和家庭的补助，商品和服务支出，专网租赁，办公用房租赁，缴纳物业管理费、采暖费、电费，编外人员劳务费等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586CE62"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关于一般公共预算基本支出表的说明</w:t>
      </w:r>
    </w:p>
    <w:p w14:paraId="2A970C90"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本部门一般公共预算基本支出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931.61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115.3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2025年新招录工作人员5名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</w:t>
      </w:r>
    </w:p>
    <w:p w14:paraId="068205C2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866.51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万元，主要包括：基本工资183.9万元；津贴补贴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84.28万元；绩效工资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231.28万元；机关事业单位基本养老保险缴费62.02万元；职业年金缴费31.01万元；职工基本医疗保险缴费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40.7万元；其他社会保障缴费3.88万元；住房公积金223.83万元；退休费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5.63万元；</w:t>
      </w:r>
      <w:r>
        <w:rPr>
          <w:rFonts w:ascii="仿宋_GB2312" w:hAnsi="仿宋_GB2312" w:eastAsia="仿宋_GB2312" w:cs="仿宋_GB2312"/>
          <w:sz w:val="30"/>
          <w:szCs w:val="30"/>
        </w:rPr>
        <w:t>奖励金</w:t>
      </w:r>
      <w:r>
        <w:rPr>
          <w:rFonts w:hint="eastAsia" w:ascii="仿宋_GB2312" w:hAnsi="仿宋_GB2312" w:eastAsia="仿宋_GB2312" w:cs="仿宋_GB2312"/>
          <w:sz w:val="30"/>
          <w:szCs w:val="30"/>
        </w:rPr>
        <w:t>0.01万元。</w:t>
      </w:r>
    </w:p>
    <w:p w14:paraId="3428128B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65.1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万元，主要包括：办公费3.4万元；印刷费0.811万元；手续费0.1万元；水费1.2万元；邮电费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1.8万元；差旅费5万元；维修(护)费0.689万元；培训费2.611万元；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委托业务费</w:t>
      </w:r>
      <w:r>
        <w:rPr>
          <w:rFonts w:hint="eastAsia" w:ascii="仿宋_GB2312" w:hAnsi="仿宋_GB2312" w:eastAsia="仿宋_GB2312" w:cs="仿宋_GB2312"/>
          <w:sz w:val="30"/>
          <w:szCs w:val="30"/>
        </w:rPr>
        <w:t>0.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929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万元；工会经费9.99万元；其他商品和服务支出35.37万元；办公设备购置3.2万元。</w:t>
      </w:r>
    </w:p>
    <w:p w14:paraId="4DE71469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sz w:val="30"/>
          <w:szCs w:val="30"/>
        </w:rPr>
        <w:t>七、关于一般公共预算“三公”经费支出表的说明</w:t>
      </w:r>
    </w:p>
    <w:p w14:paraId="03E82351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本部门一般公共预算未安排“三公”经费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。具体情况：</w:t>
      </w:r>
    </w:p>
    <w:p w14:paraId="10BA5734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本部门一般公共预算未安排“三公”经费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F88AFED"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年公务用车购置及运行费安排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本部门一般公共预算未安排“三公”经费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本部门一般公共预算未安排“三公”经费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9B5BC54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年公务接待费安排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本部门一般公共预算未安排“三公”经费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AC94B4E"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关于政府性基金预算支出表的说明</w:t>
      </w:r>
    </w:p>
    <w:p w14:paraId="5BF9857C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年本部门预算中没有使用政府性基金预算安排的支出。</w:t>
      </w:r>
    </w:p>
    <w:p w14:paraId="432A7277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关于国有资本经营预算支出表的说明</w:t>
      </w:r>
    </w:p>
    <w:p w14:paraId="2BA03862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年本部门预算中没有使用国有资本经营预算安排的支出。</w:t>
      </w:r>
    </w:p>
    <w:p w14:paraId="38B4680C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sz w:val="30"/>
          <w:szCs w:val="30"/>
        </w:rPr>
        <w:t>十、其他重要事项的情况说明</w:t>
      </w:r>
    </w:p>
    <w:bookmarkEnd w:id="12"/>
    <w:p w14:paraId="70E921A5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年未安排机关运行经费预算。</w:t>
      </w:r>
    </w:p>
    <w:p w14:paraId="4D964C77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（二）政府采购情况</w:t>
      </w:r>
    </w:p>
    <w:p w14:paraId="2524F316"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3.68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其中：政府采购货物支出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3.68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sz w:val="30"/>
          <w:szCs w:val="30"/>
        </w:rPr>
        <w:t>台式计算机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3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万元，更衣柜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0.2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万元、纸制品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0.48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 w14:paraId="65D22721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（三）国有资产占用情况</w:t>
      </w:r>
    </w:p>
    <w:p w14:paraId="70DFB334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截至</w:t>
      </w:r>
      <w:r>
        <w:rPr>
          <w:rFonts w:ascii="仿宋_GB2312" w:hAnsi="仿宋_GB2312" w:eastAsia="仿宋_GB2312" w:cs="仿宋_GB2312"/>
          <w:color w:val="000000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0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0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0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0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0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0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0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0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  <w:t xml:space="preserve"> </w:t>
      </w:r>
    </w:p>
    <w:p w14:paraId="4A149F1D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（四）预算绩效情况说明</w:t>
      </w:r>
    </w:p>
    <w:p w14:paraId="2BF290BA">
      <w:pPr>
        <w:spacing w:line="580" w:lineRule="exact"/>
        <w:ind w:left="151" w:leftChars="63" w:firstLine="450" w:firstLineChars="1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本部门</w:t>
      </w:r>
      <w:r>
        <w:rPr>
          <w:rFonts w:ascii="仿宋_GB2312" w:hAnsi="仿宋_GB2312" w:eastAsia="仿宋_GB2312" w:cs="仿宋_GB2312"/>
          <w:color w:val="000000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年实行绩效目标管理的项目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5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个，涉及预算金额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321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元。</w:t>
      </w:r>
    </w:p>
    <w:p w14:paraId="60A89213">
      <w:pPr>
        <w:spacing w:line="580" w:lineRule="exact"/>
        <w:ind w:firstLine="0" w:firstLineChars="0"/>
        <w:jc w:val="both"/>
        <w:rPr>
          <w:rFonts w:hint="eastAsia" w:eastAsia="仿宋_GB2312"/>
          <w:sz w:val="30"/>
          <w:szCs w:val="30"/>
        </w:rPr>
      </w:pPr>
    </w:p>
    <w:p w14:paraId="38A783E6"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bookmarkStart w:id="13" w:name="_Toc78784585"/>
    </w:p>
    <w:p w14:paraId="39050FEA"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</w:p>
    <w:p w14:paraId="0ECCE20A"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</w:p>
    <w:p w14:paraId="200127BB"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</w:p>
    <w:p w14:paraId="31E7DA9E"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</w:p>
    <w:p w14:paraId="19CD7481"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第三部分  名词解释</w:t>
      </w:r>
      <w:bookmarkEnd w:id="13"/>
    </w:p>
    <w:p w14:paraId="2634A4E9">
      <w:pPr>
        <w:spacing w:line="580" w:lineRule="exact"/>
        <w:ind w:firstLine="602" w:firstLineChars="200"/>
        <w:rPr>
          <w:rFonts w:hint="eastAsia"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>1.</w:t>
      </w:r>
      <w:r>
        <w:rPr>
          <w:rFonts w:hint="eastAsia" w:eastAsia="楷体_GB2312"/>
          <w:b/>
          <w:sz w:val="30"/>
          <w:szCs w:val="30"/>
        </w:rPr>
        <w:t>部门预算。</w:t>
      </w:r>
      <w:r>
        <w:rPr>
          <w:rFonts w:hint="eastAsia" w:eastAsia="仿宋_GB2312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4E358901">
      <w:pPr>
        <w:spacing w:line="580" w:lineRule="exact"/>
        <w:ind w:firstLine="602" w:firstLineChars="200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eastAsia="楷体_GB2312"/>
          <w:b/>
          <w:sz w:val="30"/>
          <w:szCs w:val="30"/>
        </w:rPr>
        <w:t>2.</w:t>
      </w:r>
      <w:r>
        <w:rPr>
          <w:rFonts w:eastAsia="楷体_GB2312"/>
          <w:b/>
          <w:sz w:val="30"/>
          <w:szCs w:val="30"/>
        </w:rPr>
        <w:t xml:space="preserve"> 机关运行经费</w:t>
      </w:r>
      <w:r>
        <w:rPr>
          <w:rFonts w:hint="eastAsia" w:eastAsia="楷体_GB2312"/>
          <w:b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 w:eastAsia="仿宋_GB2312"/>
          <w:sz w:val="30"/>
          <w:szCs w:val="30"/>
        </w:rPr>
        <w:t>。</w:t>
      </w:r>
    </w:p>
    <w:p w14:paraId="65CB971F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475FD726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30C8DC34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3248302B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215DF8B0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258FBE05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1989E736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24034006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112238D7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 xml:space="preserve">第四部分  </w:t>
      </w:r>
      <w:r>
        <w:rPr>
          <w:rFonts w:ascii="方正小标宋简体" w:hAnsi="方正小标宋简体" w:eastAsia="方正小标宋简体" w:cs="方正小标宋简体"/>
          <w:b w:val="0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年部门预算表</w:t>
      </w:r>
    </w:p>
    <w:p w14:paraId="024A7CA1">
      <w:pPr>
        <w:spacing w:line="600" w:lineRule="exact"/>
        <w:ind w:firstLine="594" w:firstLineChars="198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年收支总表</w:t>
      </w:r>
    </w:p>
    <w:p w14:paraId="08F2EA04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年收入总表</w:t>
      </w:r>
    </w:p>
    <w:p w14:paraId="647192AB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年支出总表</w:t>
      </w:r>
    </w:p>
    <w:p w14:paraId="5BB9EDA5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年财政拨款收支总表</w:t>
      </w:r>
    </w:p>
    <w:p w14:paraId="08975625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年一般公共预算支出表</w:t>
      </w:r>
    </w:p>
    <w:p w14:paraId="739FFD95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年一般公共预算基本支出表</w:t>
      </w:r>
    </w:p>
    <w:p w14:paraId="032AF08F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hint="eastAsia" w:eastAsia="仿宋_GB2312"/>
          <w:sz w:val="30"/>
          <w:szCs w:val="30"/>
        </w:rPr>
        <w:t>年一般公共预算“三公”经费支出表</w:t>
      </w:r>
    </w:p>
    <w:p w14:paraId="47EF8298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年政府性基金预算支出表</w:t>
      </w:r>
    </w:p>
    <w:p w14:paraId="3E01855C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hint="eastAsia" w:eastAsia="仿宋_GB2312"/>
          <w:sz w:val="30"/>
          <w:szCs w:val="30"/>
        </w:rPr>
        <w:t>年国有资本经营预算支出表</w:t>
      </w:r>
    </w:p>
    <w:p w14:paraId="1B6684DF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年项目支出表</w:t>
      </w:r>
    </w:p>
    <w:p w14:paraId="7B55E360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年政府采购预算表</w:t>
      </w:r>
    </w:p>
    <w:p w14:paraId="54A88E23">
      <w:pPr>
        <w:spacing w:line="560" w:lineRule="exact"/>
        <w:ind w:left="480" w:leftChars="200" w:firstLine="147" w:firstLineChars="49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十二、关于空表的说明</w:t>
      </w:r>
      <w:r>
        <w:rPr>
          <w:rFonts w:hint="eastAsia" w:eastAsia="仿宋_GB2312"/>
          <w:sz w:val="30"/>
          <w:szCs w:val="30"/>
        </w:rPr>
        <w:tab/>
      </w:r>
    </w:p>
    <w:p w14:paraId="0CC789D7"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1.本部门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hint="eastAsia" w:eastAsia="仿宋_GB2312"/>
          <w:sz w:val="30"/>
          <w:szCs w:val="30"/>
        </w:rPr>
        <w:t>年一般公共预算“三公”经费支出表为空表。</w:t>
      </w:r>
    </w:p>
    <w:p w14:paraId="1623A4EE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2.本部门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政府性基金预算支出表为空表。</w:t>
      </w:r>
    </w:p>
    <w:p w14:paraId="412AA8EA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3.本部门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国有资本经营预算支出表为空表。</w:t>
      </w:r>
    </w:p>
    <w:p w14:paraId="7E9D3F3D">
      <w:pPr>
        <w:spacing w:line="560" w:lineRule="exact"/>
        <w:ind w:firstLine="600" w:firstLineChars="200"/>
        <w:rPr>
          <w:rFonts w:hint="eastAsia" w:eastAsia="仿宋_GB2312"/>
          <w:color w:val="FF0000"/>
          <w:sz w:val="30"/>
          <w:szCs w:val="30"/>
        </w:rPr>
      </w:pPr>
    </w:p>
    <w:p w14:paraId="485B0234">
      <w:pPr>
        <w:spacing w:line="560" w:lineRule="exact"/>
        <w:rPr>
          <w:rFonts w:hint="eastAsia" w:eastAsia="仿宋_GB2312"/>
          <w:color w:val="FF0000"/>
          <w:sz w:val="30"/>
          <w:szCs w:val="30"/>
        </w:rPr>
      </w:pPr>
    </w:p>
    <w:p w14:paraId="0883F132">
      <w:pPr>
        <w:spacing w:line="580" w:lineRule="exact"/>
        <w:ind w:firstLine="600" w:firstLineChars="200"/>
        <w:rPr>
          <w:rFonts w:eastAsia="楷体_GB2312"/>
          <w:color w:val="FF0000"/>
          <w:sz w:val="30"/>
          <w:szCs w:val="30"/>
        </w:rPr>
      </w:pPr>
    </w:p>
    <w:sectPr>
      <w:footerReference r:id="rId8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FB2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DF15B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FEE3BC3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C2F18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 w14:paraId="1BE92C8E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B6AF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A5549"/>
    <w:multiLevelType w:val="singleLevel"/>
    <w:tmpl w:val="B85A55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320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175CF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0454766E"/>
    <w:rsid w:val="074F28CD"/>
    <w:rsid w:val="079D093A"/>
    <w:rsid w:val="086B2437"/>
    <w:rsid w:val="0B0555B7"/>
    <w:rsid w:val="0B276DFC"/>
    <w:rsid w:val="0BB42DA9"/>
    <w:rsid w:val="0BCD3C85"/>
    <w:rsid w:val="0D136E77"/>
    <w:rsid w:val="0F3F407D"/>
    <w:rsid w:val="1031276D"/>
    <w:rsid w:val="10A95EB7"/>
    <w:rsid w:val="10C22A11"/>
    <w:rsid w:val="143B3653"/>
    <w:rsid w:val="14CE1299"/>
    <w:rsid w:val="17424F6D"/>
    <w:rsid w:val="1A5A5700"/>
    <w:rsid w:val="1CC9442C"/>
    <w:rsid w:val="1D510DC8"/>
    <w:rsid w:val="1D681DEC"/>
    <w:rsid w:val="1D9F3919"/>
    <w:rsid w:val="1F8961F2"/>
    <w:rsid w:val="203E7E47"/>
    <w:rsid w:val="268758BC"/>
    <w:rsid w:val="283D368C"/>
    <w:rsid w:val="2A4C7F99"/>
    <w:rsid w:val="2D113CEA"/>
    <w:rsid w:val="3557428F"/>
    <w:rsid w:val="35CA6FC7"/>
    <w:rsid w:val="37AE3346"/>
    <w:rsid w:val="3B685F59"/>
    <w:rsid w:val="3D407E3C"/>
    <w:rsid w:val="3DCF0A74"/>
    <w:rsid w:val="3FCB28EB"/>
    <w:rsid w:val="40956B0D"/>
    <w:rsid w:val="41EE5B41"/>
    <w:rsid w:val="446A75AE"/>
    <w:rsid w:val="44F428F5"/>
    <w:rsid w:val="45536EF3"/>
    <w:rsid w:val="4A557B3E"/>
    <w:rsid w:val="4B7745DC"/>
    <w:rsid w:val="4C38767B"/>
    <w:rsid w:val="4E1E02D7"/>
    <w:rsid w:val="4F204931"/>
    <w:rsid w:val="539D1D3B"/>
    <w:rsid w:val="55734818"/>
    <w:rsid w:val="560F6824"/>
    <w:rsid w:val="56827511"/>
    <w:rsid w:val="5777758C"/>
    <w:rsid w:val="57F246A1"/>
    <w:rsid w:val="58C82BA3"/>
    <w:rsid w:val="5DD22982"/>
    <w:rsid w:val="623B0074"/>
    <w:rsid w:val="67952860"/>
    <w:rsid w:val="679923B5"/>
    <w:rsid w:val="693A5856"/>
    <w:rsid w:val="69993DB4"/>
    <w:rsid w:val="6A2D5246"/>
    <w:rsid w:val="6AA86F51"/>
    <w:rsid w:val="6CB6657C"/>
    <w:rsid w:val="6D4C50EF"/>
    <w:rsid w:val="6EA73A78"/>
    <w:rsid w:val="71AD24C3"/>
    <w:rsid w:val="726A26B4"/>
    <w:rsid w:val="72C851EA"/>
    <w:rsid w:val="73A82400"/>
    <w:rsid w:val="73DE2E00"/>
    <w:rsid w:val="748F20DD"/>
    <w:rsid w:val="778F3C08"/>
    <w:rsid w:val="77EFDD89"/>
    <w:rsid w:val="78024847"/>
    <w:rsid w:val="7E63200A"/>
    <w:rsid w:val="7ECE503D"/>
    <w:rsid w:val="7FBFB80A"/>
    <w:rsid w:val="9DDCB04D"/>
    <w:rsid w:val="BDEB7FB1"/>
    <w:rsid w:val="BFBF6BBA"/>
    <w:rsid w:val="DEFFAB64"/>
    <w:rsid w:val="F51C3534"/>
    <w:rsid w:val="FDFE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qFormat/>
    <w:uiPriority w:val="0"/>
  </w:style>
  <w:style w:type="paragraph" w:customStyle="1" w:styleId="12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3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标题 1 字符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5">
    <w:name w:val="标题 2 字符"/>
    <w:link w:val="3"/>
    <w:qFormat/>
    <w:uiPriority w:val="9"/>
    <w:rPr>
      <w:rFonts w:ascii="Cambria" w:hAnsi="Cambria"/>
      <w:b/>
      <w:bCs/>
      <w:sz w:val="32"/>
      <w:szCs w:val="32"/>
    </w:rPr>
  </w:style>
  <w:style w:type="character" w:customStyle="1" w:styleId="16">
    <w:name w:val="批注框文本 字符"/>
    <w:link w:val="5"/>
    <w:qFormat/>
    <w:uiPriority w:val="0"/>
    <w:rPr>
      <w:sz w:val="18"/>
      <w:szCs w:val="18"/>
    </w:rPr>
  </w:style>
  <w:style w:type="character" w:customStyle="1" w:styleId="17">
    <w:name w:val="页脚 字符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3008</Words>
  <Characters>3447</Characters>
  <Lines>39</Lines>
  <Paragraphs>11</Paragraphs>
  <TotalTime>1</TotalTime>
  <ScaleCrop>false</ScaleCrop>
  <LinksUpToDate>false</LinksUpToDate>
  <CharactersWithSpaces>3993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2024-02-25T01:39:00Z</dcterms:created>
  <dc:creator>朱春礼</dc:creator>
  <cp:lastModifiedBy>谙语</cp:lastModifiedBy>
  <cp:lastPrinted>2026-01-31T02:06:00Z</cp:lastPrinted>
  <dcterms:modified xsi:type="dcterms:W3CDTF">2026-02-13T05:56:37Z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eyJoZGlkIjoiMjZiNTc1NjA3NGE0YWFiYzI2YzNkOTk4MjliOGM0NGYiLCJ1c2VySWQiOiIyMDE1OTE4NTUifQ==</vt:lpwstr>
  </property>
  <property fmtid="{D5CDD505-2E9C-101B-9397-08002B2CF9AE}" pid="4" name="ICV">
    <vt:lpwstr>83855DF07B074A95BAD5AD426165E419_12</vt:lpwstr>
  </property>
</Properties>
</file>