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0" w:name="_Toc_4_4_0000000007"/>
      <w:r>
        <w:rPr>
          <w:rFonts w:hint="eastAsia" w:ascii="方正仿宋_GBK" w:hAnsi="方正仿宋_GBK" w:eastAsia="方正仿宋_GBK" w:cs="方正仿宋_GBK"/>
          <w:sz w:val="28"/>
          <w:lang w:val="en-US" w:eastAsia="zh-CN"/>
        </w:rPr>
        <w:t>1</w:t>
      </w:r>
      <w:r>
        <w:rPr>
          <w:rFonts w:ascii="方正仿宋_GBK" w:hAnsi="方正仿宋_GBK" w:eastAsia="方正仿宋_GBK" w:cs="方正仿宋_GBK"/>
          <w:sz w:val="28"/>
        </w:rPr>
        <w:t>.2026年知识产权快速协同保护专项——保护中心专项业务费绩效目标表</w:t>
      </w:r>
      <w:bookmarkEnd w:id="0"/>
    </w:p>
    <w:tbl>
      <w:tblPr>
        <w:tblStyle w:val="6"/>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610201天津市滨海新区知识产权保护中心</w:t>
            </w:r>
          </w:p>
        </w:tc>
        <w:tc>
          <w:tcPr>
            <w:tcW w:w="1327"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项目名称</w:t>
            </w:r>
          </w:p>
        </w:tc>
        <w:tc>
          <w:tcPr>
            <w:tcW w:w="7962" w:type="dxa"/>
            <w:gridSpan w:val="6"/>
            <w:vAlign w:val="center"/>
          </w:tcPr>
          <w:p>
            <w:pPr>
              <w:pStyle w:val="13"/>
            </w:pPr>
            <w:r>
              <w:t>2026年知识产权快速协同保护专项——保护中心专项业务费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1458100.00</w:t>
            </w:r>
          </w:p>
        </w:tc>
        <w:tc>
          <w:tcPr>
            <w:tcW w:w="1327" w:type="dxa"/>
            <w:vAlign w:val="center"/>
          </w:tcPr>
          <w:p>
            <w:pPr>
              <w:pStyle w:val="14"/>
            </w:pPr>
            <w:r>
              <w:t>其中：财政    资金</w:t>
            </w:r>
          </w:p>
        </w:tc>
        <w:tc>
          <w:tcPr>
            <w:tcW w:w="1327" w:type="dxa"/>
            <w:vAlign w:val="center"/>
          </w:tcPr>
          <w:p>
            <w:pPr>
              <w:pStyle w:val="13"/>
            </w:pPr>
            <w:r>
              <w:t>1458100.00</w:t>
            </w:r>
          </w:p>
        </w:tc>
        <w:tc>
          <w:tcPr>
            <w:tcW w:w="1327" w:type="dxa"/>
            <w:vAlign w:val="center"/>
          </w:tcPr>
          <w:p>
            <w:pPr>
              <w:pStyle w:val="14"/>
            </w:pPr>
            <w:r>
              <w:t>其他资金</w:t>
            </w:r>
          </w:p>
        </w:tc>
        <w:tc>
          <w:tcPr>
            <w:tcW w:w="1327"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3"/>
            </w:pPr>
            <w:r>
              <w:t>支付楼内物业费，每年电费，采暖费，每年房租等。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962" w:type="dxa"/>
            <w:gridSpan w:val="6"/>
            <w:vAlign w:val="center"/>
          </w:tcPr>
          <w:p>
            <w:pPr>
              <w:pStyle w:val="13"/>
            </w:pPr>
            <w:r>
              <w:t>1.通过物业管理，改善工作环境，保障正常业务开展；通过支付2026年电费，保障办公区域照明、电脑、办公用电设备，机房，中央空调以及各功能用房的正常运行；通过按期支付采暖费使室内温度达标，保障正常办公，确保保护中心正常运行；通过租赁办公用房，保障办公场所固定稳定，提高新区知识产权工作效率、服务质量。</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2654"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物业管理服务面积</w:t>
            </w:r>
          </w:p>
        </w:tc>
        <w:tc>
          <w:tcPr>
            <w:tcW w:w="2654" w:type="dxa"/>
            <w:vAlign w:val="center"/>
          </w:tcPr>
          <w:p>
            <w:pPr>
              <w:pStyle w:val="13"/>
            </w:pPr>
            <w:r>
              <w:t>物业管理服务面积</w:t>
            </w:r>
          </w:p>
        </w:tc>
        <w:tc>
          <w:tcPr>
            <w:tcW w:w="2654" w:type="dxa"/>
            <w:vAlign w:val="center"/>
          </w:tcPr>
          <w:p>
            <w:pPr>
              <w:pStyle w:val="13"/>
            </w:pPr>
            <w:r>
              <w:t>≥3055.65平方米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耗电量</w:t>
            </w:r>
          </w:p>
        </w:tc>
        <w:tc>
          <w:tcPr>
            <w:tcW w:w="2654" w:type="dxa"/>
            <w:vAlign w:val="center"/>
          </w:tcPr>
          <w:p>
            <w:pPr>
              <w:pStyle w:val="13"/>
            </w:pPr>
            <w:r>
              <w:t>耗电量</w:t>
            </w:r>
          </w:p>
        </w:tc>
        <w:tc>
          <w:tcPr>
            <w:tcW w:w="2654" w:type="dxa"/>
            <w:vAlign w:val="center"/>
          </w:tcPr>
          <w:p>
            <w:pPr>
              <w:pStyle w:val="13"/>
            </w:pPr>
            <w:r>
              <w:t>≥150000度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供热计费面积</w:t>
            </w:r>
          </w:p>
        </w:tc>
        <w:tc>
          <w:tcPr>
            <w:tcW w:w="2654" w:type="dxa"/>
            <w:vAlign w:val="center"/>
          </w:tcPr>
          <w:p>
            <w:pPr>
              <w:pStyle w:val="13"/>
            </w:pPr>
            <w:r>
              <w:t>供热计费面积</w:t>
            </w:r>
          </w:p>
        </w:tc>
        <w:tc>
          <w:tcPr>
            <w:tcW w:w="2654" w:type="dxa"/>
            <w:vAlign w:val="center"/>
          </w:tcPr>
          <w:p>
            <w:pPr>
              <w:pStyle w:val="13"/>
            </w:pPr>
            <w:r>
              <w:t>≥3632.16平方米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房屋租用面积</w:t>
            </w:r>
          </w:p>
        </w:tc>
        <w:tc>
          <w:tcPr>
            <w:tcW w:w="2654" w:type="dxa"/>
            <w:vAlign w:val="center"/>
          </w:tcPr>
          <w:p>
            <w:pPr>
              <w:pStyle w:val="13"/>
            </w:pPr>
            <w:r>
              <w:t>房屋租用面积</w:t>
            </w:r>
          </w:p>
        </w:tc>
        <w:tc>
          <w:tcPr>
            <w:tcW w:w="2654" w:type="dxa"/>
            <w:vAlign w:val="center"/>
          </w:tcPr>
          <w:p>
            <w:pPr>
              <w:pStyle w:val="13"/>
            </w:pPr>
            <w:r>
              <w:t>≥3055.65平方米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保洁达标率</w:t>
            </w:r>
          </w:p>
        </w:tc>
        <w:tc>
          <w:tcPr>
            <w:tcW w:w="2654" w:type="dxa"/>
            <w:vAlign w:val="center"/>
          </w:tcPr>
          <w:p>
            <w:pPr>
              <w:pStyle w:val="13"/>
            </w:pPr>
            <w:r>
              <w:t>保洁达标率</w:t>
            </w:r>
          </w:p>
        </w:tc>
        <w:tc>
          <w:tcPr>
            <w:tcW w:w="2654"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用电设备正常运转率</w:t>
            </w:r>
          </w:p>
        </w:tc>
        <w:tc>
          <w:tcPr>
            <w:tcW w:w="2654" w:type="dxa"/>
            <w:vAlign w:val="center"/>
          </w:tcPr>
          <w:p>
            <w:pPr>
              <w:pStyle w:val="13"/>
            </w:pPr>
            <w:r>
              <w:t>用电设备正常运转率</w:t>
            </w:r>
          </w:p>
        </w:tc>
        <w:tc>
          <w:tcPr>
            <w:tcW w:w="2654"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室内温度</w:t>
            </w:r>
          </w:p>
        </w:tc>
        <w:tc>
          <w:tcPr>
            <w:tcW w:w="2654" w:type="dxa"/>
            <w:vAlign w:val="center"/>
          </w:tcPr>
          <w:p>
            <w:pPr>
              <w:pStyle w:val="13"/>
            </w:pPr>
            <w:r>
              <w:t>室内温度</w:t>
            </w:r>
          </w:p>
        </w:tc>
        <w:tc>
          <w:tcPr>
            <w:tcW w:w="2654" w:type="dxa"/>
            <w:vAlign w:val="center"/>
          </w:tcPr>
          <w:p>
            <w:pPr>
              <w:pStyle w:val="13"/>
            </w:pPr>
            <w:r>
              <w:t>≥18度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房屋使用率</w:t>
            </w:r>
          </w:p>
        </w:tc>
        <w:tc>
          <w:tcPr>
            <w:tcW w:w="2654" w:type="dxa"/>
            <w:vAlign w:val="center"/>
          </w:tcPr>
          <w:p>
            <w:pPr>
              <w:pStyle w:val="13"/>
            </w:pPr>
            <w:r>
              <w:t>房屋使用率</w:t>
            </w:r>
          </w:p>
        </w:tc>
        <w:tc>
          <w:tcPr>
            <w:tcW w:w="2654"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物业费支付完成时间</w:t>
            </w:r>
          </w:p>
        </w:tc>
        <w:tc>
          <w:tcPr>
            <w:tcW w:w="2654" w:type="dxa"/>
            <w:vAlign w:val="center"/>
          </w:tcPr>
          <w:p>
            <w:pPr>
              <w:pStyle w:val="13"/>
            </w:pPr>
            <w:r>
              <w:t>物业费支付完成时间</w:t>
            </w:r>
          </w:p>
        </w:tc>
        <w:tc>
          <w:tcPr>
            <w:tcW w:w="2654" w:type="dxa"/>
            <w:vAlign w:val="center"/>
          </w:tcPr>
          <w:p>
            <w:pPr>
              <w:pStyle w:val="13"/>
            </w:pPr>
            <w:r>
              <w:t>2026年12月底前完成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电费支付完成时间</w:t>
            </w:r>
          </w:p>
        </w:tc>
        <w:tc>
          <w:tcPr>
            <w:tcW w:w="2654" w:type="dxa"/>
            <w:vAlign w:val="center"/>
          </w:tcPr>
          <w:p>
            <w:pPr>
              <w:pStyle w:val="13"/>
            </w:pPr>
            <w:r>
              <w:t>电费支付完成时间</w:t>
            </w:r>
          </w:p>
        </w:tc>
        <w:tc>
          <w:tcPr>
            <w:tcW w:w="2654" w:type="dxa"/>
            <w:vAlign w:val="center"/>
          </w:tcPr>
          <w:p>
            <w:pPr>
              <w:pStyle w:val="13"/>
            </w:pPr>
            <w:r>
              <w:t>2026年12月底前完成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采暖费支付完成时间</w:t>
            </w:r>
          </w:p>
        </w:tc>
        <w:tc>
          <w:tcPr>
            <w:tcW w:w="2654" w:type="dxa"/>
            <w:vAlign w:val="center"/>
          </w:tcPr>
          <w:p>
            <w:pPr>
              <w:pStyle w:val="13"/>
            </w:pPr>
            <w:r>
              <w:t>采暖费支付完成时间</w:t>
            </w:r>
          </w:p>
        </w:tc>
        <w:tc>
          <w:tcPr>
            <w:tcW w:w="2654" w:type="dxa"/>
            <w:vAlign w:val="center"/>
          </w:tcPr>
          <w:p>
            <w:pPr>
              <w:pStyle w:val="13"/>
            </w:pPr>
            <w:r>
              <w:t>2026年12月底前完成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房屋租赁费支付完成时间</w:t>
            </w:r>
          </w:p>
        </w:tc>
        <w:tc>
          <w:tcPr>
            <w:tcW w:w="2654" w:type="dxa"/>
            <w:vAlign w:val="center"/>
          </w:tcPr>
          <w:p>
            <w:pPr>
              <w:pStyle w:val="13"/>
            </w:pPr>
            <w:r>
              <w:t>房屋租赁费支付完成时间</w:t>
            </w:r>
          </w:p>
        </w:tc>
        <w:tc>
          <w:tcPr>
            <w:tcW w:w="2654" w:type="dxa"/>
            <w:vAlign w:val="center"/>
          </w:tcPr>
          <w:p>
            <w:pPr>
              <w:pStyle w:val="13"/>
            </w:pPr>
            <w:r>
              <w:t>2026年12月底前完成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每季度物业费</w:t>
            </w:r>
          </w:p>
        </w:tc>
        <w:tc>
          <w:tcPr>
            <w:tcW w:w="2654" w:type="dxa"/>
            <w:vAlign w:val="center"/>
          </w:tcPr>
          <w:p>
            <w:pPr>
              <w:pStyle w:val="13"/>
            </w:pPr>
            <w:r>
              <w:t>每季度物业费</w:t>
            </w:r>
          </w:p>
        </w:tc>
        <w:tc>
          <w:tcPr>
            <w:tcW w:w="2654" w:type="dxa"/>
            <w:vAlign w:val="center"/>
          </w:tcPr>
          <w:p>
            <w:pPr>
              <w:pStyle w:val="13"/>
            </w:pPr>
            <w:r>
              <w:t>≤65700元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每度电费用</w:t>
            </w:r>
          </w:p>
        </w:tc>
        <w:tc>
          <w:tcPr>
            <w:tcW w:w="2654" w:type="dxa"/>
            <w:vAlign w:val="center"/>
          </w:tcPr>
          <w:p>
            <w:pPr>
              <w:pStyle w:val="13"/>
            </w:pPr>
            <w:r>
              <w:t>每度电费用</w:t>
            </w:r>
          </w:p>
        </w:tc>
        <w:tc>
          <w:tcPr>
            <w:tcW w:w="2654" w:type="dxa"/>
            <w:vAlign w:val="center"/>
          </w:tcPr>
          <w:p>
            <w:pPr>
              <w:pStyle w:val="13"/>
            </w:pPr>
            <w:r>
              <w:t>≤1元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每平方米采暖费</w:t>
            </w:r>
          </w:p>
        </w:tc>
        <w:tc>
          <w:tcPr>
            <w:tcW w:w="2654" w:type="dxa"/>
            <w:vAlign w:val="center"/>
          </w:tcPr>
          <w:p>
            <w:pPr>
              <w:pStyle w:val="13"/>
            </w:pPr>
            <w:r>
              <w:t>每平方米采暖费</w:t>
            </w:r>
          </w:p>
        </w:tc>
        <w:tc>
          <w:tcPr>
            <w:tcW w:w="2654" w:type="dxa"/>
            <w:vAlign w:val="center"/>
          </w:tcPr>
          <w:p>
            <w:pPr>
              <w:pStyle w:val="13"/>
            </w:pPr>
            <w:r>
              <w:t>≤40元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每月房屋租赁费</w:t>
            </w:r>
          </w:p>
        </w:tc>
        <w:tc>
          <w:tcPr>
            <w:tcW w:w="2654" w:type="dxa"/>
            <w:vAlign w:val="center"/>
          </w:tcPr>
          <w:p>
            <w:pPr>
              <w:pStyle w:val="13"/>
            </w:pPr>
            <w:r>
              <w:t>每月房屋租赁费</w:t>
            </w:r>
          </w:p>
        </w:tc>
        <w:tc>
          <w:tcPr>
            <w:tcW w:w="2654" w:type="dxa"/>
            <w:vAlign w:val="center"/>
          </w:tcPr>
          <w:p>
            <w:pPr>
              <w:pStyle w:val="13"/>
            </w:pPr>
            <w:r>
              <w:t>≤75000元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提高知识产权服务质量</w:t>
            </w:r>
          </w:p>
        </w:tc>
        <w:tc>
          <w:tcPr>
            <w:tcW w:w="2654" w:type="dxa"/>
            <w:vAlign w:val="center"/>
          </w:tcPr>
          <w:p>
            <w:pPr>
              <w:pStyle w:val="13"/>
            </w:pPr>
            <w:r>
              <w:t>提高知识产权服务质量</w:t>
            </w:r>
          </w:p>
        </w:tc>
        <w:tc>
          <w:tcPr>
            <w:tcW w:w="2654"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知识产权服务企业满意度</w:t>
            </w:r>
          </w:p>
        </w:tc>
        <w:tc>
          <w:tcPr>
            <w:tcW w:w="2654" w:type="dxa"/>
            <w:vAlign w:val="center"/>
          </w:tcPr>
          <w:p>
            <w:pPr>
              <w:pStyle w:val="13"/>
            </w:pPr>
            <w:r>
              <w:t>知识产权服务企业满意度</w:t>
            </w:r>
          </w:p>
        </w:tc>
        <w:tc>
          <w:tcPr>
            <w:tcW w:w="2654" w:type="dxa"/>
            <w:vAlign w:val="center"/>
          </w:tcPr>
          <w:p>
            <w:pPr>
              <w:pStyle w:val="13"/>
            </w:pPr>
            <w:r>
              <w:t>≥85%</w:t>
            </w:r>
          </w:p>
        </w:tc>
      </w:tr>
    </w:tbl>
    <w:p>
      <w:pPr>
        <w:sectPr>
          <w:footerReference r:id="rId3" w:type="default"/>
          <w:footerReference r:id="rId4" w:type="even"/>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08"/>
      <w:r>
        <w:rPr>
          <w:rFonts w:hint="eastAsia" w:ascii="方正仿宋_GBK" w:hAnsi="方正仿宋_GBK" w:eastAsia="方正仿宋_GBK" w:cs="方正仿宋_GBK"/>
          <w:sz w:val="28"/>
          <w:lang w:val="en-US" w:eastAsia="zh-CN"/>
        </w:rPr>
        <w:t>2</w:t>
      </w:r>
      <w:r>
        <w:rPr>
          <w:rFonts w:ascii="方正仿宋_GBK" w:hAnsi="方正仿宋_GBK" w:eastAsia="方正仿宋_GBK" w:cs="方正仿宋_GBK"/>
          <w:sz w:val="28"/>
        </w:rPr>
        <w:t>.2026年知识产权快速协同保护专项——数据库账号采购费绩效目标表</w:t>
      </w:r>
      <w:bookmarkEnd w:id="1"/>
    </w:p>
    <w:tbl>
      <w:tblPr>
        <w:tblStyle w:val="6"/>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610201天津市滨海新区知识产权保护中心</w:t>
            </w:r>
          </w:p>
        </w:tc>
        <w:tc>
          <w:tcPr>
            <w:tcW w:w="1327"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项目名称</w:t>
            </w:r>
          </w:p>
        </w:tc>
        <w:tc>
          <w:tcPr>
            <w:tcW w:w="7962" w:type="dxa"/>
            <w:gridSpan w:val="6"/>
            <w:vAlign w:val="center"/>
          </w:tcPr>
          <w:p>
            <w:pPr>
              <w:pStyle w:val="13"/>
            </w:pPr>
            <w:r>
              <w:t>2026年知识产权快速协同保护专项——数据库账号采购费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50000.00</w:t>
            </w:r>
          </w:p>
        </w:tc>
        <w:tc>
          <w:tcPr>
            <w:tcW w:w="1327" w:type="dxa"/>
            <w:vAlign w:val="center"/>
          </w:tcPr>
          <w:p>
            <w:pPr>
              <w:pStyle w:val="14"/>
            </w:pPr>
            <w:r>
              <w:t>其中：财政    资金</w:t>
            </w:r>
          </w:p>
        </w:tc>
        <w:tc>
          <w:tcPr>
            <w:tcW w:w="1327" w:type="dxa"/>
            <w:vAlign w:val="center"/>
          </w:tcPr>
          <w:p>
            <w:pPr>
              <w:pStyle w:val="13"/>
            </w:pPr>
            <w:r>
              <w:t>50000.00</w:t>
            </w:r>
          </w:p>
        </w:tc>
        <w:tc>
          <w:tcPr>
            <w:tcW w:w="1327" w:type="dxa"/>
            <w:vAlign w:val="center"/>
          </w:tcPr>
          <w:p>
            <w:pPr>
              <w:pStyle w:val="14"/>
            </w:pPr>
            <w:r>
              <w:t>其他资金</w:t>
            </w:r>
          </w:p>
        </w:tc>
        <w:tc>
          <w:tcPr>
            <w:tcW w:w="1327"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3"/>
            </w:pPr>
            <w:r>
              <w:t>支付数据库账号采购费用等。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962" w:type="dxa"/>
            <w:gridSpan w:val="6"/>
            <w:vAlign w:val="center"/>
          </w:tcPr>
          <w:p>
            <w:pPr>
              <w:pStyle w:val="13"/>
            </w:pPr>
            <w:r>
              <w:t>1.通过专利数据库实现数据检索和分析，保障本区域内高端装备制造、生物医药、新能源产业和企业专利导航工作开展，提高知识产权工作效率、服务质量。</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2654"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新增专利数据库使用账号</w:t>
            </w:r>
          </w:p>
        </w:tc>
        <w:tc>
          <w:tcPr>
            <w:tcW w:w="2654" w:type="dxa"/>
            <w:vAlign w:val="center"/>
          </w:tcPr>
          <w:p>
            <w:pPr>
              <w:pStyle w:val="13"/>
            </w:pPr>
            <w:r>
              <w:t>新增专利数据库使用账号</w:t>
            </w:r>
          </w:p>
        </w:tc>
        <w:tc>
          <w:tcPr>
            <w:tcW w:w="2654"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数据检索分析功能实现率</w:t>
            </w:r>
          </w:p>
        </w:tc>
        <w:tc>
          <w:tcPr>
            <w:tcW w:w="2654" w:type="dxa"/>
            <w:vAlign w:val="center"/>
          </w:tcPr>
          <w:p>
            <w:pPr>
              <w:pStyle w:val="13"/>
            </w:pPr>
            <w:r>
              <w:t>数据检索分析功能实现率</w:t>
            </w:r>
          </w:p>
        </w:tc>
        <w:tc>
          <w:tcPr>
            <w:tcW w:w="265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新增专利数据库账号采购完成时间</w:t>
            </w:r>
          </w:p>
        </w:tc>
        <w:tc>
          <w:tcPr>
            <w:tcW w:w="2654" w:type="dxa"/>
            <w:vAlign w:val="center"/>
          </w:tcPr>
          <w:p>
            <w:pPr>
              <w:pStyle w:val="13"/>
            </w:pPr>
            <w:r>
              <w:t>新增专利数据库账号采购完成时间</w:t>
            </w:r>
          </w:p>
        </w:tc>
        <w:tc>
          <w:tcPr>
            <w:tcW w:w="2654" w:type="dxa"/>
            <w:vAlign w:val="center"/>
          </w:tcPr>
          <w:p>
            <w:pPr>
              <w:pStyle w:val="13"/>
            </w:pPr>
            <w:r>
              <w:t>2026年12月底前完成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专利数据库账号成本</w:t>
            </w:r>
          </w:p>
        </w:tc>
        <w:tc>
          <w:tcPr>
            <w:tcW w:w="2654" w:type="dxa"/>
            <w:vAlign w:val="center"/>
          </w:tcPr>
          <w:p>
            <w:pPr>
              <w:pStyle w:val="13"/>
            </w:pPr>
            <w:r>
              <w:t>专利数据库账号成本</w:t>
            </w:r>
          </w:p>
        </w:tc>
        <w:tc>
          <w:tcPr>
            <w:tcW w:w="2654" w:type="dxa"/>
            <w:vAlign w:val="center"/>
          </w:tcPr>
          <w:p>
            <w:pPr>
              <w:pStyle w:val="13"/>
            </w:pPr>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提高知识产权服务质量</w:t>
            </w:r>
          </w:p>
        </w:tc>
        <w:tc>
          <w:tcPr>
            <w:tcW w:w="2654" w:type="dxa"/>
            <w:vAlign w:val="center"/>
          </w:tcPr>
          <w:p>
            <w:pPr>
              <w:pStyle w:val="13"/>
            </w:pPr>
            <w:r>
              <w:t>提高知识产权服务质量</w:t>
            </w:r>
          </w:p>
        </w:tc>
        <w:tc>
          <w:tcPr>
            <w:tcW w:w="2654"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知识产权服务企业满意度</w:t>
            </w:r>
          </w:p>
        </w:tc>
        <w:tc>
          <w:tcPr>
            <w:tcW w:w="2654" w:type="dxa"/>
            <w:vAlign w:val="center"/>
          </w:tcPr>
          <w:p>
            <w:pPr>
              <w:pStyle w:val="13"/>
            </w:pPr>
            <w:r>
              <w:t>知识产权服务企业满意度</w:t>
            </w:r>
          </w:p>
        </w:tc>
        <w:tc>
          <w:tcPr>
            <w:tcW w:w="2654" w:type="dxa"/>
            <w:vAlign w:val="center"/>
          </w:tcPr>
          <w:p>
            <w:pPr>
              <w:pStyle w:val="13"/>
            </w:pPr>
            <w:r>
              <w:t>≥85%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 w:name="_Toc_4_4_0000000009"/>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.2026年知识产权快速协同保护专项——知识产权服务平台运行经费绩效目标表</w:t>
      </w:r>
      <w:bookmarkEnd w:id="2"/>
    </w:p>
    <w:tbl>
      <w:tblPr>
        <w:tblStyle w:val="6"/>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610201天津市滨海新区知识产权保护中心</w:t>
            </w:r>
          </w:p>
        </w:tc>
        <w:tc>
          <w:tcPr>
            <w:tcW w:w="1327"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项目名称</w:t>
            </w:r>
          </w:p>
        </w:tc>
        <w:tc>
          <w:tcPr>
            <w:tcW w:w="7962" w:type="dxa"/>
            <w:gridSpan w:val="6"/>
            <w:vAlign w:val="center"/>
          </w:tcPr>
          <w:p>
            <w:pPr>
              <w:pStyle w:val="13"/>
            </w:pPr>
            <w:r>
              <w:t>2026年知识产权快速协同保护专项——知识产权服务平台运行经费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441900.00</w:t>
            </w:r>
          </w:p>
        </w:tc>
        <w:tc>
          <w:tcPr>
            <w:tcW w:w="1327" w:type="dxa"/>
            <w:vAlign w:val="center"/>
          </w:tcPr>
          <w:p>
            <w:pPr>
              <w:pStyle w:val="14"/>
            </w:pPr>
            <w:r>
              <w:t>其中：财政    资金</w:t>
            </w:r>
          </w:p>
        </w:tc>
        <w:tc>
          <w:tcPr>
            <w:tcW w:w="1327" w:type="dxa"/>
            <w:vAlign w:val="center"/>
          </w:tcPr>
          <w:p>
            <w:pPr>
              <w:pStyle w:val="13"/>
            </w:pPr>
            <w:r>
              <w:t>441900.00</w:t>
            </w:r>
          </w:p>
        </w:tc>
        <w:tc>
          <w:tcPr>
            <w:tcW w:w="1327" w:type="dxa"/>
            <w:vAlign w:val="center"/>
          </w:tcPr>
          <w:p>
            <w:pPr>
              <w:pStyle w:val="14"/>
            </w:pPr>
            <w:r>
              <w:t>其他资金</w:t>
            </w:r>
          </w:p>
        </w:tc>
        <w:tc>
          <w:tcPr>
            <w:tcW w:w="1327"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3"/>
            </w:pPr>
            <w:r>
              <w:t>支付网费、政务网租用费用、预审系统运维费、科普教育基地内容更新费用等。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962" w:type="dxa"/>
            <w:gridSpan w:val="6"/>
            <w:vAlign w:val="center"/>
          </w:tcPr>
          <w:p>
            <w:pPr>
              <w:pStyle w:val="13"/>
            </w:pPr>
            <w:r>
              <w:t>1.通过连接国家局专网，开通国家局专利智能检索及分析系统网路，保障专利预审检索工作开展；通过更新滨海新区知识产权科普教育基地展示内容，提高滨海新区社会大众知识产权保护意识；通过维护预审服务平台数据，保障预审平台正常运行；通过开展信息化安全等级保护测评，保障系统安全可靠；通过改造知识产权数据登记平台实现与国家局接口对接。</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2654"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网络、宽带开通线路数量</w:t>
            </w:r>
          </w:p>
        </w:tc>
        <w:tc>
          <w:tcPr>
            <w:tcW w:w="2654" w:type="dxa"/>
            <w:vAlign w:val="center"/>
          </w:tcPr>
          <w:p>
            <w:pPr>
              <w:pStyle w:val="13"/>
            </w:pPr>
            <w:r>
              <w:t>网络、宽带开通线路数量</w:t>
            </w:r>
          </w:p>
        </w:tc>
        <w:tc>
          <w:tcPr>
            <w:tcW w:w="2654" w:type="dxa"/>
            <w:vAlign w:val="center"/>
          </w:tcPr>
          <w:p>
            <w:pPr>
              <w:pStyle w:val="13"/>
            </w:pPr>
            <w:r>
              <w:t>≥2条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政务网租用线路数量</w:t>
            </w:r>
          </w:p>
        </w:tc>
        <w:tc>
          <w:tcPr>
            <w:tcW w:w="2654" w:type="dxa"/>
            <w:vAlign w:val="center"/>
          </w:tcPr>
          <w:p>
            <w:pPr>
              <w:pStyle w:val="13"/>
            </w:pPr>
            <w:r>
              <w:t>政务网租用线路数量</w:t>
            </w:r>
          </w:p>
        </w:tc>
        <w:tc>
          <w:tcPr>
            <w:tcW w:w="2654" w:type="dxa"/>
            <w:vAlign w:val="center"/>
          </w:tcPr>
          <w:p>
            <w:pPr>
              <w:pStyle w:val="13"/>
            </w:pPr>
            <w:r>
              <w:t>≥1条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科普教育基地展示内容更新数量</w:t>
            </w:r>
          </w:p>
        </w:tc>
        <w:tc>
          <w:tcPr>
            <w:tcW w:w="2654" w:type="dxa"/>
            <w:vAlign w:val="center"/>
          </w:tcPr>
          <w:p>
            <w:pPr>
              <w:pStyle w:val="13"/>
            </w:pPr>
            <w:r>
              <w:t>科普教育基地展示内容更新数量</w:t>
            </w:r>
          </w:p>
        </w:tc>
        <w:tc>
          <w:tcPr>
            <w:tcW w:w="2654"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预审系统数量</w:t>
            </w:r>
          </w:p>
        </w:tc>
        <w:tc>
          <w:tcPr>
            <w:tcW w:w="2654" w:type="dxa"/>
            <w:vAlign w:val="center"/>
          </w:tcPr>
          <w:p>
            <w:pPr>
              <w:pStyle w:val="13"/>
            </w:pPr>
            <w:r>
              <w:t>预审系统数量</w:t>
            </w:r>
          </w:p>
        </w:tc>
        <w:tc>
          <w:tcPr>
            <w:tcW w:w="2654"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网络响应速度</w:t>
            </w:r>
          </w:p>
        </w:tc>
        <w:tc>
          <w:tcPr>
            <w:tcW w:w="2654" w:type="dxa"/>
            <w:vAlign w:val="center"/>
          </w:tcPr>
          <w:p>
            <w:pPr>
              <w:pStyle w:val="13"/>
            </w:pPr>
            <w:r>
              <w:t>网络响应速度</w:t>
            </w:r>
          </w:p>
        </w:tc>
        <w:tc>
          <w:tcPr>
            <w:tcW w:w="2654" w:type="dxa"/>
            <w:vAlign w:val="center"/>
          </w:tcPr>
          <w:p>
            <w:pPr>
              <w:pStyle w:val="13"/>
            </w:pPr>
            <w:r>
              <w:t>≥2M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科普教育基地更新内容合格率</w:t>
            </w:r>
          </w:p>
        </w:tc>
        <w:tc>
          <w:tcPr>
            <w:tcW w:w="2654" w:type="dxa"/>
            <w:vAlign w:val="center"/>
          </w:tcPr>
          <w:p>
            <w:pPr>
              <w:pStyle w:val="13"/>
            </w:pPr>
            <w:r>
              <w:t>科普教育基地更新内容合格率</w:t>
            </w:r>
          </w:p>
        </w:tc>
        <w:tc>
          <w:tcPr>
            <w:tcW w:w="2654"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预审系统运行稳定率</w:t>
            </w:r>
          </w:p>
        </w:tc>
        <w:tc>
          <w:tcPr>
            <w:tcW w:w="2654" w:type="dxa"/>
            <w:vAlign w:val="center"/>
          </w:tcPr>
          <w:p>
            <w:pPr>
              <w:pStyle w:val="13"/>
            </w:pPr>
            <w:r>
              <w:t>预审系统运行稳定率</w:t>
            </w:r>
          </w:p>
        </w:tc>
        <w:tc>
          <w:tcPr>
            <w:tcW w:w="2654"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网费支付完成时间</w:t>
            </w:r>
          </w:p>
        </w:tc>
        <w:tc>
          <w:tcPr>
            <w:tcW w:w="2654" w:type="dxa"/>
            <w:vAlign w:val="center"/>
          </w:tcPr>
          <w:p>
            <w:pPr>
              <w:pStyle w:val="13"/>
            </w:pPr>
            <w:r>
              <w:t>网费支付完成时间</w:t>
            </w:r>
          </w:p>
        </w:tc>
        <w:tc>
          <w:tcPr>
            <w:tcW w:w="2654" w:type="dxa"/>
            <w:vAlign w:val="center"/>
          </w:tcPr>
          <w:p>
            <w:pPr>
              <w:pStyle w:val="13"/>
            </w:pPr>
            <w:r>
              <w:t>2026年12月底前完成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科普教育基地展示内容更新完成时间</w:t>
            </w:r>
          </w:p>
        </w:tc>
        <w:tc>
          <w:tcPr>
            <w:tcW w:w="2654" w:type="dxa"/>
            <w:vAlign w:val="center"/>
          </w:tcPr>
          <w:p>
            <w:pPr>
              <w:pStyle w:val="13"/>
            </w:pPr>
            <w:r>
              <w:t>科普教育基地展示内容更新完成时间</w:t>
            </w:r>
          </w:p>
        </w:tc>
        <w:tc>
          <w:tcPr>
            <w:tcW w:w="2654" w:type="dxa"/>
            <w:vAlign w:val="center"/>
          </w:tcPr>
          <w:p>
            <w:pPr>
              <w:pStyle w:val="13"/>
            </w:pPr>
            <w:r>
              <w:t>2026年12月底前完成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预审系统运维费支付完成时间</w:t>
            </w:r>
          </w:p>
        </w:tc>
        <w:tc>
          <w:tcPr>
            <w:tcW w:w="2654" w:type="dxa"/>
            <w:vAlign w:val="center"/>
          </w:tcPr>
          <w:p>
            <w:pPr>
              <w:pStyle w:val="13"/>
            </w:pPr>
            <w:r>
              <w:t>预审系统运维费支付完成时间</w:t>
            </w:r>
          </w:p>
        </w:tc>
        <w:tc>
          <w:tcPr>
            <w:tcW w:w="2654" w:type="dxa"/>
            <w:vAlign w:val="center"/>
          </w:tcPr>
          <w:p>
            <w:pPr>
              <w:pStyle w:val="13"/>
            </w:pPr>
            <w:r>
              <w:t>2026年12月底前完成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网费每月平均成本</w:t>
            </w:r>
          </w:p>
        </w:tc>
        <w:tc>
          <w:tcPr>
            <w:tcW w:w="2654" w:type="dxa"/>
            <w:vAlign w:val="center"/>
          </w:tcPr>
          <w:p>
            <w:pPr>
              <w:pStyle w:val="13"/>
            </w:pPr>
            <w:r>
              <w:t>网费每月平均成本</w:t>
            </w:r>
          </w:p>
        </w:tc>
        <w:tc>
          <w:tcPr>
            <w:tcW w:w="2654" w:type="dxa"/>
            <w:vAlign w:val="center"/>
          </w:tcPr>
          <w:p>
            <w:pPr>
              <w:pStyle w:val="13"/>
            </w:pPr>
            <w:r>
              <w:t>≤14400元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政务网租用成本</w:t>
            </w:r>
          </w:p>
        </w:tc>
        <w:tc>
          <w:tcPr>
            <w:tcW w:w="2654" w:type="dxa"/>
            <w:vAlign w:val="center"/>
          </w:tcPr>
          <w:p>
            <w:pPr>
              <w:pStyle w:val="13"/>
            </w:pPr>
            <w:r>
              <w:t>政务网租用成本</w:t>
            </w:r>
          </w:p>
        </w:tc>
        <w:tc>
          <w:tcPr>
            <w:tcW w:w="2654" w:type="dxa"/>
            <w:vAlign w:val="center"/>
          </w:tcPr>
          <w:p>
            <w:pPr>
              <w:pStyle w:val="13"/>
            </w:pPr>
            <w:r>
              <w:t>≤9360元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科普教育基地更新成本</w:t>
            </w:r>
          </w:p>
        </w:tc>
        <w:tc>
          <w:tcPr>
            <w:tcW w:w="2654" w:type="dxa"/>
            <w:vAlign w:val="center"/>
          </w:tcPr>
          <w:p>
            <w:pPr>
              <w:pStyle w:val="13"/>
            </w:pPr>
            <w:r>
              <w:t>科普教育基地更新成本</w:t>
            </w:r>
          </w:p>
        </w:tc>
        <w:tc>
          <w:tcPr>
            <w:tcW w:w="2654" w:type="dxa"/>
            <w:vAlign w:val="center"/>
          </w:tcPr>
          <w:p>
            <w:pPr>
              <w:pStyle w:val="13"/>
            </w:pPr>
            <w:r>
              <w:t>≤56940元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预审系统每季度维护成本</w:t>
            </w:r>
          </w:p>
        </w:tc>
        <w:tc>
          <w:tcPr>
            <w:tcW w:w="2654" w:type="dxa"/>
            <w:vAlign w:val="center"/>
          </w:tcPr>
          <w:p>
            <w:pPr>
              <w:pStyle w:val="13"/>
            </w:pPr>
            <w:r>
              <w:t>预审系统每季度维护成本</w:t>
            </w:r>
          </w:p>
        </w:tc>
        <w:tc>
          <w:tcPr>
            <w:tcW w:w="2654" w:type="dxa"/>
            <w:vAlign w:val="center"/>
          </w:tcPr>
          <w:p>
            <w:pPr>
              <w:pStyle w:val="13"/>
            </w:pPr>
            <w:r>
              <w:t>≤50700元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提高知识产权服务质量</w:t>
            </w:r>
          </w:p>
        </w:tc>
        <w:tc>
          <w:tcPr>
            <w:tcW w:w="2654" w:type="dxa"/>
            <w:vAlign w:val="center"/>
          </w:tcPr>
          <w:p>
            <w:pPr>
              <w:pStyle w:val="13"/>
            </w:pPr>
            <w:r>
              <w:t>提高知识产权服务质量</w:t>
            </w:r>
          </w:p>
        </w:tc>
        <w:tc>
          <w:tcPr>
            <w:tcW w:w="2654"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知识产权服务企业满意度</w:t>
            </w:r>
          </w:p>
        </w:tc>
        <w:tc>
          <w:tcPr>
            <w:tcW w:w="2654" w:type="dxa"/>
            <w:vAlign w:val="center"/>
          </w:tcPr>
          <w:p>
            <w:pPr>
              <w:pStyle w:val="13"/>
            </w:pPr>
            <w:r>
              <w:t>知识产权服务企业满意度</w:t>
            </w:r>
          </w:p>
        </w:tc>
        <w:tc>
          <w:tcPr>
            <w:tcW w:w="2654" w:type="dxa"/>
            <w:vAlign w:val="center"/>
          </w:tcPr>
          <w:p>
            <w:pPr>
              <w:pStyle w:val="13"/>
            </w:pPr>
            <w:r>
              <w:t>≥85%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_4_4_0000000010"/>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.2026年编制外长聘人员经费项目（专利预审员）绩效目标表</w:t>
      </w:r>
      <w:bookmarkEnd w:id="3"/>
    </w:p>
    <w:tbl>
      <w:tblPr>
        <w:tblStyle w:val="6"/>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610201天津市滨海新区知识产权保护中心</w:t>
            </w:r>
          </w:p>
        </w:tc>
        <w:tc>
          <w:tcPr>
            <w:tcW w:w="1327"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项目名称</w:t>
            </w:r>
          </w:p>
        </w:tc>
        <w:tc>
          <w:tcPr>
            <w:tcW w:w="7962" w:type="dxa"/>
            <w:gridSpan w:val="6"/>
            <w:vAlign w:val="center"/>
          </w:tcPr>
          <w:p>
            <w:pPr>
              <w:pStyle w:val="13"/>
            </w:pPr>
            <w:r>
              <w:t>2026年编制外长聘人员经费项目（专利预审员）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960000.00</w:t>
            </w:r>
          </w:p>
        </w:tc>
        <w:tc>
          <w:tcPr>
            <w:tcW w:w="1327" w:type="dxa"/>
            <w:vAlign w:val="center"/>
          </w:tcPr>
          <w:p>
            <w:pPr>
              <w:pStyle w:val="14"/>
            </w:pPr>
            <w:r>
              <w:t>其中：财政    资金</w:t>
            </w:r>
          </w:p>
        </w:tc>
        <w:tc>
          <w:tcPr>
            <w:tcW w:w="1327" w:type="dxa"/>
            <w:vAlign w:val="center"/>
          </w:tcPr>
          <w:p>
            <w:pPr>
              <w:pStyle w:val="13"/>
            </w:pPr>
            <w:r>
              <w:t>960000.00</w:t>
            </w:r>
          </w:p>
        </w:tc>
        <w:tc>
          <w:tcPr>
            <w:tcW w:w="1327" w:type="dxa"/>
            <w:vAlign w:val="center"/>
          </w:tcPr>
          <w:p>
            <w:pPr>
              <w:pStyle w:val="14"/>
            </w:pPr>
            <w:r>
              <w:t>其他资金</w:t>
            </w:r>
          </w:p>
        </w:tc>
        <w:tc>
          <w:tcPr>
            <w:tcW w:w="1327"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3"/>
            </w:pPr>
            <w:r>
              <w:t>支付长聘人员工资、社保公积金等。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962" w:type="dxa"/>
            <w:gridSpan w:val="6"/>
            <w:vAlign w:val="center"/>
          </w:tcPr>
          <w:p>
            <w:pPr>
              <w:pStyle w:val="13"/>
            </w:pPr>
            <w:r>
              <w:t>1.通过发放多种用工派遣人员工作经费，保障派遣员工的基本合法权益，保障工作顺利推进。</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2654"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多种用工人员经费发放人数</w:t>
            </w:r>
          </w:p>
        </w:tc>
        <w:tc>
          <w:tcPr>
            <w:tcW w:w="2654" w:type="dxa"/>
            <w:vAlign w:val="center"/>
          </w:tcPr>
          <w:p>
            <w:pPr>
              <w:pStyle w:val="13"/>
            </w:pPr>
            <w:r>
              <w:t>通过考量实际多种用工人员经费发放人数，反映多种用工人员经费发放工作开展的完成情况。</w:t>
            </w:r>
          </w:p>
        </w:tc>
        <w:tc>
          <w:tcPr>
            <w:tcW w:w="2654" w:type="dxa"/>
            <w:vAlign w:val="center"/>
          </w:tcPr>
          <w:p>
            <w:pPr>
              <w:pStyle w:val="13"/>
            </w:pPr>
            <w:r>
              <w:t>≥4人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多种用工人员经费发放准确率</w:t>
            </w:r>
          </w:p>
        </w:tc>
        <w:tc>
          <w:tcPr>
            <w:tcW w:w="2654"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654"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多种用工人员经费发放完成时间</w:t>
            </w:r>
          </w:p>
        </w:tc>
        <w:tc>
          <w:tcPr>
            <w:tcW w:w="2654" w:type="dxa"/>
            <w:vAlign w:val="center"/>
          </w:tcPr>
          <w:p>
            <w:pPr>
              <w:pStyle w:val="13"/>
            </w:pPr>
            <w:r>
              <w:t>通过考量实际多种用工人员经费发放完成时间，反映多种用工人员经费发放工作开展的完成情况。</w:t>
            </w:r>
          </w:p>
        </w:tc>
        <w:tc>
          <w:tcPr>
            <w:tcW w:w="2654"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多种用工人员经费标准</w:t>
            </w:r>
          </w:p>
        </w:tc>
        <w:tc>
          <w:tcPr>
            <w:tcW w:w="2654" w:type="dxa"/>
            <w:vAlign w:val="center"/>
          </w:tcPr>
          <w:p>
            <w:pPr>
              <w:pStyle w:val="13"/>
            </w:pPr>
            <w:r>
              <w:t>通过实际支出标准与规定支出标准比对，反映多种用工人员经费支出标准的符合情况。</w:t>
            </w:r>
          </w:p>
        </w:tc>
        <w:tc>
          <w:tcPr>
            <w:tcW w:w="2654" w:type="dxa"/>
            <w:vAlign w:val="center"/>
          </w:tcPr>
          <w:p>
            <w:pPr>
              <w:pStyle w:val="13"/>
            </w:pPr>
            <w:r>
              <w:t>≤24万元/年/人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多种用工人员到岗率</w:t>
            </w:r>
          </w:p>
        </w:tc>
        <w:tc>
          <w:tcPr>
            <w:tcW w:w="2654"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654"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多种用工人员满意度</w:t>
            </w:r>
          </w:p>
        </w:tc>
        <w:tc>
          <w:tcPr>
            <w:tcW w:w="2654" w:type="dxa"/>
            <w:vAlign w:val="center"/>
          </w:tcPr>
          <w:p>
            <w:pPr>
              <w:pStyle w:val="13"/>
            </w:pPr>
            <w:r>
              <w:t>通过调查问卷中满意人数与调查总人数的比率，反映被调查对象对本项目的满意程度。计算公式：各类问题满意人数÷调查总人数×100%</w:t>
            </w:r>
          </w:p>
        </w:tc>
        <w:tc>
          <w:tcPr>
            <w:tcW w:w="2654" w:type="dxa"/>
            <w:vAlign w:val="center"/>
          </w:tcPr>
          <w:p>
            <w:pPr>
              <w:pStyle w:val="13"/>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_4_4_0000000011"/>
      <w:r>
        <w:rPr>
          <w:rFonts w:hint="eastAsia" w:ascii="方正仿宋_GBK" w:hAnsi="方正仿宋_GBK" w:eastAsia="方正仿宋_GBK" w:cs="方正仿宋_GBK"/>
          <w:sz w:val="28"/>
          <w:lang w:val="en-US" w:eastAsia="zh-CN"/>
        </w:rPr>
        <w:t>5</w:t>
      </w:r>
      <w:bookmarkStart w:id="5" w:name="_GoBack"/>
      <w:bookmarkEnd w:id="5"/>
      <w:r>
        <w:rPr>
          <w:rFonts w:ascii="方正仿宋_GBK" w:hAnsi="方正仿宋_GBK" w:eastAsia="方正仿宋_GBK" w:cs="方正仿宋_GBK"/>
          <w:sz w:val="28"/>
        </w:rPr>
        <w:t>.2026年知识产权保护项目—企业海外纠纷应对指导（自有资金）（其他收入资金）绩效目标表</w:t>
      </w:r>
      <w:bookmarkEnd w:id="4"/>
    </w:p>
    <w:tbl>
      <w:tblPr>
        <w:tblStyle w:val="6"/>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610201天津市滨海新区知识产权保护中心</w:t>
            </w:r>
          </w:p>
        </w:tc>
        <w:tc>
          <w:tcPr>
            <w:tcW w:w="1327"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项目名称</w:t>
            </w:r>
          </w:p>
        </w:tc>
        <w:tc>
          <w:tcPr>
            <w:tcW w:w="7962" w:type="dxa"/>
            <w:gridSpan w:val="6"/>
            <w:vAlign w:val="center"/>
          </w:tcPr>
          <w:p>
            <w:pPr>
              <w:pStyle w:val="13"/>
            </w:pPr>
            <w:r>
              <w:t>2026年知识产权保护项目—企业海外纠纷应对指导（自有资金）（其他收入资金）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300000.00</w:t>
            </w:r>
          </w:p>
        </w:tc>
        <w:tc>
          <w:tcPr>
            <w:tcW w:w="1327" w:type="dxa"/>
            <w:vAlign w:val="center"/>
          </w:tcPr>
          <w:p>
            <w:pPr>
              <w:pStyle w:val="14"/>
            </w:pPr>
            <w:r>
              <w:t>其中：财政    资金</w:t>
            </w:r>
          </w:p>
        </w:tc>
        <w:tc>
          <w:tcPr>
            <w:tcW w:w="1327" w:type="dxa"/>
            <w:vAlign w:val="center"/>
          </w:tcPr>
          <w:p>
            <w:pPr>
              <w:pStyle w:val="13"/>
            </w:pPr>
            <w:r>
              <w:t xml:space="preserve"> </w:t>
            </w:r>
          </w:p>
        </w:tc>
        <w:tc>
          <w:tcPr>
            <w:tcW w:w="1327" w:type="dxa"/>
            <w:vAlign w:val="center"/>
          </w:tcPr>
          <w:p>
            <w:pPr>
              <w:pStyle w:val="14"/>
            </w:pPr>
            <w:r>
              <w:t>其他资金</w:t>
            </w:r>
          </w:p>
        </w:tc>
        <w:tc>
          <w:tcPr>
            <w:tcW w:w="1327" w:type="dxa"/>
            <w:vAlign w:val="center"/>
          </w:tcPr>
          <w:p>
            <w:pPr>
              <w:pStyle w:val="13"/>
            </w:pPr>
            <w:r>
              <w:t>300000.00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3"/>
            </w:pPr>
            <w:r>
              <w:t>支付2025年天津市知识产权资助项目—企业海外纠纷应对指导费用。</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962" w:type="dxa"/>
            <w:gridSpan w:val="6"/>
            <w:vAlign w:val="center"/>
          </w:tcPr>
          <w:p>
            <w:pPr>
              <w:pStyle w:val="13"/>
            </w:pPr>
            <w:r>
              <w:t>1.通过强化海外纠纷应对指导天津滨海新区分中心建设，监测“走出去”企业海外知识产权纠纷线索，丰富海外知识产权保护的成果供给，持续提升对海外知识产权纠纷的应对指导能力，护航我市“走出去”企业平稳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2654"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更新国别指南，形成典型案例、保护指引、保护指南数量</w:t>
            </w:r>
          </w:p>
        </w:tc>
        <w:tc>
          <w:tcPr>
            <w:tcW w:w="2654" w:type="dxa"/>
            <w:vAlign w:val="center"/>
          </w:tcPr>
          <w:p>
            <w:pPr>
              <w:pStyle w:val="13"/>
            </w:pPr>
            <w:r>
              <w:t>更新国别指南，形成典型案例、保护指引、保护指南数量</w:t>
            </w:r>
          </w:p>
        </w:tc>
        <w:tc>
          <w:tcPr>
            <w:tcW w:w="2654" w:type="dxa"/>
            <w:vAlign w:val="center"/>
          </w:tcPr>
          <w:p>
            <w:pPr>
              <w:pStyle w:val="13"/>
            </w:pPr>
            <w:r>
              <w:t>≥27个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海外预警监测月数</w:t>
            </w:r>
          </w:p>
        </w:tc>
        <w:tc>
          <w:tcPr>
            <w:tcW w:w="2654" w:type="dxa"/>
            <w:vAlign w:val="center"/>
          </w:tcPr>
          <w:p>
            <w:pPr>
              <w:pStyle w:val="13"/>
            </w:pPr>
            <w:r>
              <w:t>海外预警监测月数</w:t>
            </w:r>
          </w:p>
        </w:tc>
        <w:tc>
          <w:tcPr>
            <w:tcW w:w="2654"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形成并印制纠纷调查报告、政策指南数量</w:t>
            </w:r>
          </w:p>
        </w:tc>
        <w:tc>
          <w:tcPr>
            <w:tcW w:w="2654" w:type="dxa"/>
            <w:vAlign w:val="center"/>
          </w:tcPr>
          <w:p>
            <w:pPr>
              <w:pStyle w:val="13"/>
            </w:pPr>
            <w:r>
              <w:t>形成并印制纠纷调查报告、政策指南数量</w:t>
            </w:r>
          </w:p>
        </w:tc>
        <w:tc>
          <w:tcPr>
            <w:tcW w:w="2654" w:type="dxa"/>
            <w:vAlign w:val="center"/>
          </w:tcPr>
          <w:p>
            <w:pPr>
              <w:pStyle w:val="13"/>
            </w:pPr>
            <w:r>
              <w:t>≥200册</w:t>
            </w:r>
          </w:p>
        </w:tc>
      </w:tr>
      <w:tr>
        <w:tblPrEx>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数量指标</w:t>
            </w:r>
          </w:p>
        </w:tc>
        <w:tc>
          <w:tcPr>
            <w:tcW w:w="1327" w:type="dxa"/>
            <w:vAlign w:val="center"/>
          </w:tcPr>
          <w:p>
            <w:pPr>
              <w:pStyle w:val="13"/>
            </w:pPr>
            <w:r>
              <w:t>组织宣传培训场次</w:t>
            </w:r>
          </w:p>
        </w:tc>
        <w:tc>
          <w:tcPr>
            <w:tcW w:w="2654" w:type="dxa"/>
            <w:vAlign w:val="center"/>
          </w:tcPr>
          <w:p>
            <w:pPr>
              <w:pStyle w:val="13"/>
            </w:pPr>
            <w:r>
              <w:t>组织宣传培训场次</w:t>
            </w:r>
          </w:p>
        </w:tc>
        <w:tc>
          <w:tcPr>
            <w:tcW w:w="2654" w:type="dxa"/>
            <w:vAlign w:val="center"/>
          </w:tcPr>
          <w:p>
            <w:pPr>
              <w:pStyle w:val="13"/>
            </w:pPr>
            <w:r>
              <w:t>≥5场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天津涉案企业覆盖率</w:t>
            </w:r>
          </w:p>
        </w:tc>
        <w:tc>
          <w:tcPr>
            <w:tcW w:w="2654" w:type="dxa"/>
            <w:vAlign w:val="center"/>
          </w:tcPr>
          <w:p>
            <w:pPr>
              <w:pStyle w:val="13"/>
            </w:pPr>
            <w:r>
              <w:t>天津涉案企业覆盖率</w:t>
            </w:r>
          </w:p>
        </w:tc>
        <w:tc>
          <w:tcPr>
            <w:tcW w:w="2654"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培训合格率</w:t>
            </w:r>
          </w:p>
        </w:tc>
        <w:tc>
          <w:tcPr>
            <w:tcW w:w="2654" w:type="dxa"/>
            <w:vAlign w:val="center"/>
          </w:tcPr>
          <w:p>
            <w:pPr>
              <w:pStyle w:val="13"/>
            </w:pPr>
            <w:r>
              <w:t>培训合格率</w:t>
            </w:r>
          </w:p>
        </w:tc>
        <w:tc>
          <w:tcPr>
            <w:tcW w:w="2654"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项目完成时间</w:t>
            </w:r>
          </w:p>
        </w:tc>
        <w:tc>
          <w:tcPr>
            <w:tcW w:w="2654" w:type="dxa"/>
            <w:vAlign w:val="center"/>
          </w:tcPr>
          <w:p>
            <w:pPr>
              <w:pStyle w:val="13"/>
            </w:pPr>
            <w:r>
              <w:t>项目完成时间</w:t>
            </w:r>
          </w:p>
        </w:tc>
        <w:tc>
          <w:tcPr>
            <w:tcW w:w="2654" w:type="dxa"/>
            <w:vAlign w:val="center"/>
          </w:tcPr>
          <w:p>
            <w:pPr>
              <w:pStyle w:val="13"/>
            </w:pPr>
            <w:r>
              <w:t>2026年3月前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更新国别指南，形成典型案例、保护指引、保护指南成本</w:t>
            </w:r>
          </w:p>
        </w:tc>
        <w:tc>
          <w:tcPr>
            <w:tcW w:w="2654" w:type="dxa"/>
            <w:vAlign w:val="center"/>
          </w:tcPr>
          <w:p>
            <w:pPr>
              <w:pStyle w:val="13"/>
            </w:pPr>
            <w:r>
              <w:t>更新国别指南，形成典型案例、保护指引、保护指南成本</w:t>
            </w:r>
          </w:p>
        </w:tc>
        <w:tc>
          <w:tcPr>
            <w:tcW w:w="2654" w:type="dxa"/>
            <w:vAlign w:val="center"/>
          </w:tcPr>
          <w:p>
            <w:pPr>
              <w:pStyle w:val="13"/>
            </w:pPr>
            <w:r>
              <w:t>≤13.5万元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海外预警监测成本</w:t>
            </w:r>
          </w:p>
        </w:tc>
        <w:tc>
          <w:tcPr>
            <w:tcW w:w="2654" w:type="dxa"/>
            <w:vAlign w:val="center"/>
          </w:tcPr>
          <w:p>
            <w:pPr>
              <w:pStyle w:val="13"/>
            </w:pPr>
            <w:r>
              <w:t>海外预警监测成本</w:t>
            </w:r>
          </w:p>
        </w:tc>
        <w:tc>
          <w:tcPr>
            <w:tcW w:w="2654"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形成并印制纠纷调查报告、政策指南成本</w:t>
            </w:r>
          </w:p>
        </w:tc>
        <w:tc>
          <w:tcPr>
            <w:tcW w:w="2654" w:type="dxa"/>
            <w:vAlign w:val="center"/>
          </w:tcPr>
          <w:p>
            <w:pPr>
              <w:pStyle w:val="13"/>
            </w:pPr>
            <w:r>
              <w:t>形成并印制纠纷调查报告、政策指南成本</w:t>
            </w:r>
          </w:p>
        </w:tc>
        <w:tc>
          <w:tcPr>
            <w:tcW w:w="2654" w:type="dxa"/>
            <w:vAlign w:val="center"/>
          </w:tcPr>
          <w:p>
            <w:pPr>
              <w:pStyle w:val="13"/>
            </w:pPr>
            <w:r>
              <w:t>≤4万元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培训成本</w:t>
            </w:r>
          </w:p>
        </w:tc>
        <w:tc>
          <w:tcPr>
            <w:tcW w:w="2654" w:type="dxa"/>
            <w:vAlign w:val="center"/>
          </w:tcPr>
          <w:p>
            <w:pPr>
              <w:pStyle w:val="13"/>
            </w:pPr>
            <w:r>
              <w:t>培训成本</w:t>
            </w:r>
          </w:p>
        </w:tc>
        <w:tc>
          <w:tcPr>
            <w:tcW w:w="2654" w:type="dxa"/>
            <w:vAlign w:val="center"/>
          </w:tcPr>
          <w:p>
            <w:pPr>
              <w:pStyle w:val="13"/>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提升企业海外维权意识</w:t>
            </w:r>
          </w:p>
        </w:tc>
        <w:tc>
          <w:tcPr>
            <w:tcW w:w="2654" w:type="dxa"/>
            <w:vAlign w:val="center"/>
          </w:tcPr>
          <w:p>
            <w:pPr>
              <w:pStyle w:val="13"/>
            </w:pPr>
            <w:r>
              <w:t>提升企业海外维权意识</w:t>
            </w:r>
          </w:p>
        </w:tc>
        <w:tc>
          <w:tcPr>
            <w:tcW w:w="2654"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服务企业满意度</w:t>
            </w:r>
          </w:p>
        </w:tc>
        <w:tc>
          <w:tcPr>
            <w:tcW w:w="2654" w:type="dxa"/>
            <w:vAlign w:val="center"/>
          </w:tcPr>
          <w:p>
            <w:pPr>
              <w:pStyle w:val="13"/>
            </w:pPr>
            <w:r>
              <w:t>服务企业满意度</w:t>
            </w:r>
          </w:p>
        </w:tc>
        <w:tc>
          <w:tcPr>
            <w:tcW w:w="2654" w:type="dxa"/>
            <w:vAlign w:val="center"/>
          </w:tcPr>
          <w:p>
            <w:pPr>
              <w:pStyle w:val="13"/>
            </w:pPr>
            <w:r>
              <w:t>≥90%</w:t>
            </w:r>
          </w:p>
        </w:tc>
      </w:tr>
    </w:tbl>
    <w:p/>
    <w:sectPr>
      <w:pgSz w:w="11900" w:h="16840"/>
      <w:pgMar w:top="1984" w:right="1304" w:bottom="1134" w:left="1304"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rsids>
    <w:rsidRoot w:val="00000000"/>
    <w:rsid w:val="2F1C6C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2026-01-20T16:15:42Z</dcterms:created>
  <dcterms:modified xsi:type="dcterms:W3CDTF">2026-01-20T08:15:42Z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2026-01-20T16:15:42Z</dcterms:created>
  <dcterms:modified xsi:type="dcterms:W3CDTF">2026-01-20T08:15:41Z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a9e872e-42de-409c-9697-cc0d9f0ed8cc}">
  <ds:schemaRefs/>
</ds:datastoreItem>
</file>

<file path=customXml/itemProps11.xml><?xml version="1.0" encoding="utf-8"?>
<ds:datastoreItem xmlns:ds="http://schemas.openxmlformats.org/officeDocument/2006/customXml" ds:itemID="{084ff5b1-9e8d-412b-9e28-c2b40fb05c9d}">
  <ds:schemaRefs/>
</ds:datastoreItem>
</file>

<file path=customXml/itemProps12.xml><?xml version="1.0" encoding="utf-8"?>
<ds:datastoreItem xmlns:ds="http://schemas.openxmlformats.org/officeDocument/2006/customXml" ds:itemID="{b3d2efe7-691d-4a6d-a85e-a7ad787ea46c}">
  <ds:schemaRefs/>
</ds:datastoreItem>
</file>

<file path=customXml/itemProps13.xml><?xml version="1.0" encoding="utf-8"?>
<ds:datastoreItem xmlns:ds="http://schemas.openxmlformats.org/officeDocument/2006/customXml" ds:itemID="{8e9bafbb-d16e-4171-b979-1784ff80fe60}">
  <ds:schemaRefs/>
</ds:datastoreItem>
</file>

<file path=customXml/itemProps14.xml><?xml version="1.0" encoding="utf-8"?>
<ds:datastoreItem xmlns:ds="http://schemas.openxmlformats.org/officeDocument/2006/customXml" ds:itemID="{ead6b9a9-b0cb-471e-a6a3-1b395d687d33}">
  <ds:schemaRefs/>
</ds:datastoreItem>
</file>

<file path=customXml/itemProps15.xml><?xml version="1.0" encoding="utf-8"?>
<ds:datastoreItem xmlns:ds="http://schemas.openxmlformats.org/officeDocument/2006/customXml" ds:itemID="{aed17def-81ad-4714-80e4-9f370d2618e4}">
  <ds:schemaRefs/>
</ds:datastoreItem>
</file>

<file path=customXml/itemProps16.xml><?xml version="1.0" encoding="utf-8"?>
<ds:datastoreItem xmlns:ds="http://schemas.openxmlformats.org/officeDocument/2006/customXml" ds:itemID="{2109a7de-6249-4df3-bdb5-002f803bf87e}">
  <ds:schemaRefs/>
</ds:datastoreItem>
</file>

<file path=customXml/itemProps17.xml><?xml version="1.0" encoding="utf-8"?>
<ds:datastoreItem xmlns:ds="http://schemas.openxmlformats.org/officeDocument/2006/customXml" ds:itemID="{d5c363f9-fdd2-4e0e-b6de-3002d4dd31fb}">
  <ds:schemaRefs/>
</ds:datastoreItem>
</file>

<file path=customXml/itemProps18.xml><?xml version="1.0" encoding="utf-8"?>
<ds:datastoreItem xmlns:ds="http://schemas.openxmlformats.org/officeDocument/2006/customXml" ds:itemID="{d09d7175-2c6c-4cd9-90c5-bdbe559e0888}">
  <ds:schemaRefs/>
</ds:datastoreItem>
</file>

<file path=customXml/itemProps19.xml><?xml version="1.0" encoding="utf-8"?>
<ds:datastoreItem xmlns:ds="http://schemas.openxmlformats.org/officeDocument/2006/customXml" ds:itemID="{9fe06c68-86bc-4555-a660-902129e4867c}">
  <ds:schemaRefs/>
</ds:datastoreItem>
</file>

<file path=customXml/itemProps2.xml><?xml version="1.0" encoding="utf-8"?>
<ds:datastoreItem xmlns:ds="http://schemas.openxmlformats.org/officeDocument/2006/customXml" ds:itemID="{7e8bc4c9-1715-427f-9eed-4468c3c503e8}">
  <ds:schemaRefs/>
</ds:datastoreItem>
</file>

<file path=customXml/itemProps20.xml><?xml version="1.0" encoding="utf-8"?>
<ds:datastoreItem xmlns:ds="http://schemas.openxmlformats.org/officeDocument/2006/customXml" ds:itemID="{73f2c326-171c-40fc-9dae-e27f6125d4a7}">
  <ds:schemaRefs/>
</ds:datastoreItem>
</file>

<file path=customXml/itemProps21.xml><?xml version="1.0" encoding="utf-8"?>
<ds:datastoreItem xmlns:ds="http://schemas.openxmlformats.org/officeDocument/2006/customXml" ds:itemID="{2b1fb912-634a-4338-a237-946c8fe35eed}">
  <ds:schemaRefs/>
</ds:datastoreItem>
</file>

<file path=customXml/itemProps3.xml><?xml version="1.0" encoding="utf-8"?>
<ds:datastoreItem xmlns:ds="http://schemas.openxmlformats.org/officeDocument/2006/customXml" ds:itemID="{c13e629e-48ce-4cc8-8e82-db55fd769d25}">
  <ds:schemaRefs/>
</ds:datastoreItem>
</file>

<file path=customXml/itemProps4.xml><?xml version="1.0" encoding="utf-8"?>
<ds:datastoreItem xmlns:ds="http://schemas.openxmlformats.org/officeDocument/2006/customXml" ds:itemID="{bd9c9c44-c820-41a9-8cfc-19481718f959}">
  <ds:schemaRefs/>
</ds:datastoreItem>
</file>

<file path=customXml/itemProps5.xml><?xml version="1.0" encoding="utf-8"?>
<ds:datastoreItem xmlns:ds="http://schemas.openxmlformats.org/officeDocument/2006/customXml" ds:itemID="{f95ffbbc-cd7a-4d4e-bbb8-2e79b08859fe}">
  <ds:schemaRefs/>
</ds:datastoreItem>
</file>

<file path=customXml/itemProps6.xml><?xml version="1.0" encoding="utf-8"?>
<ds:datastoreItem xmlns:ds="http://schemas.openxmlformats.org/officeDocument/2006/customXml" ds:itemID="{6edb9fa8-281c-42e1-a71b-90fa9d036360}">
  <ds:schemaRefs/>
</ds:datastoreItem>
</file>

<file path=customXml/itemProps7.xml><?xml version="1.0" encoding="utf-8"?>
<ds:datastoreItem xmlns:ds="http://schemas.openxmlformats.org/officeDocument/2006/customXml" ds:itemID="{059444df-b6f1-4184-b7e0-77347cfe3c9c}">
  <ds:schemaRefs/>
</ds:datastoreItem>
</file>

<file path=customXml/itemProps8.xml><?xml version="1.0" encoding="utf-8"?>
<ds:datastoreItem xmlns:ds="http://schemas.openxmlformats.org/officeDocument/2006/customXml" ds:itemID="{a251668f-99d3-4cd7-8e6e-5d933ca81af4}">
  <ds:schemaRefs/>
</ds:datastoreItem>
</file>

<file path=customXml/itemProps9.xml><?xml version="1.0" encoding="utf-8"?>
<ds:datastoreItem xmlns:ds="http://schemas.openxmlformats.org/officeDocument/2006/customXml" ds:itemID="{6ef18073-79c8-4f00-8ae1-3d306cd78b17}">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Office_10.8.2.7090_F1E327BC-269C-435d-A152-05C5408002CA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2026-01-20T16:15:00Z</dcterms:created>
  <dc:creator>Administrator</dc:creator>
  <cp:lastModifiedBy>办公室</cp:lastModifiedBy>
  <dcterms:modified xsi:type="dcterms:W3CDTF">2026-01-28T04:16:47Z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