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B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2CDD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关于开展“千企百城”商标品牌价值提升行动第二批申报和首批评估工作的通知</w:t>
      </w:r>
    </w:p>
    <w:bookmarkEnd w:id="0"/>
    <w:p w14:paraId="69094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3951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各开发区知识产权主管部门，各有关单位：</w:t>
      </w:r>
    </w:p>
    <w:p w14:paraId="3A2B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深入实施滨海新区商标品牌战略，推进区域商标品牌价值提升，按照市知识产权局《关于转发&lt;国家知识产权局办公室关于开展“千企百城”商标品牌价值提升行动第二批申报和首批评估工作的通知&gt;的通知》要求，现将有关工作通知如下：</w:t>
      </w:r>
    </w:p>
    <w:p w14:paraId="6597D0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开展首批评估工作</w:t>
      </w:r>
    </w:p>
    <w:p w14:paraId="4E34D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滨海新区首批参加“千企百城”商标品牌价值提升行动的企业及商标品牌指导站（见附件1、2），填写《企业商标品牌信息表》《商标品牌指导站信息表》（附件3、5），重点总结实施商标品牌价值提升行动的主要举措、工作成效和特色经验，并报送典型案例。</w:t>
      </w:r>
    </w:p>
    <w:p w14:paraId="781C4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开展第二批申报工作</w:t>
      </w:r>
    </w:p>
    <w:p w14:paraId="585035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申报条件</w:t>
      </w:r>
    </w:p>
    <w:p w14:paraId="6B274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参加第二批“千企百城”商标品牌价值提升行动的企业、区域商标品牌主体和商标品牌指导站，应符合《“千企百城”商标品牌价值提升行动方案（2023—2025年）》（附件6）所规定的条件。专精特新中小企业等优先申报，已进入首批提升行动名单的主体（见附件1、2）及地理标志主体不参加本次申报。</w:t>
      </w:r>
    </w:p>
    <w:p w14:paraId="79F9DB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工作程序</w:t>
      </w:r>
    </w:p>
    <w:p w14:paraId="4800A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1.申报。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有意愿的企业、区域商标品牌主体和商标品牌指导站，需填写申报材料（附件3、4、5），申请参加第二批商标品牌价值提升行动。</w:t>
      </w:r>
    </w:p>
    <w:p w14:paraId="41D69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2.推荐。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区知识产权局将符合条件的申报主体推荐至市知识产权局；市知识产权局将对申报主体的基础条件、申报材料的真实性等进行审核，择优推荐至国家知识产权局。</w:t>
      </w:r>
    </w:p>
    <w:p w14:paraId="69038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3.复核。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国家知识产权局经复核及公示，确定参加第二批提升行动的名单。</w:t>
      </w:r>
    </w:p>
    <w:p w14:paraId="152925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工作要求</w:t>
      </w:r>
    </w:p>
    <w:p w14:paraId="68F6D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请各开发区知识产权主管部门认真做好组织动员工作；请各申报主体及参加评估主体于9月4日前将填报材料电子可编辑版及盖章扫描版，发送至区知识产权局知识产权促进室政务邮箱bhzscqjcjs@tj.gov.cn。</w:t>
      </w:r>
    </w:p>
    <w:p w14:paraId="5DD2DB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特别提示</w:t>
      </w:r>
    </w:p>
    <w:p w14:paraId="2EA6B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“千企百城”商标品牌价值提升行动不是示范创建、评比达标、考核等事项，无命名授牌及结果排名，各创新主体自愿参加，无任何任务指标。</w:t>
      </w:r>
    </w:p>
    <w:p w14:paraId="3819E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F924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附件：1.首批参加“千企百城”商标品牌价值提升行动的企业商标品牌名单</w:t>
      </w:r>
    </w:p>
    <w:p w14:paraId="09DD8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2.首批参加“千企百城”商标品牌价值提升行动的商标品牌指导站名单</w:t>
      </w:r>
    </w:p>
    <w:p w14:paraId="01AD4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3.企业商标品牌信息表</w:t>
      </w:r>
    </w:p>
    <w:p w14:paraId="60145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4.区域商标品牌信息表</w:t>
      </w:r>
    </w:p>
    <w:p w14:paraId="1009A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5.商标品牌指导站信息表</w:t>
      </w:r>
    </w:p>
    <w:p w14:paraId="47146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6.“千企百城”商标品牌价值提升行动方案（2023—2025年）</w:t>
      </w:r>
    </w:p>
    <w:p w14:paraId="494A4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11CD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05EB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2025年8月20日</w:t>
      </w:r>
    </w:p>
    <w:p w14:paraId="27E1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4311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（联系人：林文婧；联系电话：022-65369981）</w:t>
      </w:r>
    </w:p>
    <w:p w14:paraId="4E909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（此件主动公开）</w:t>
      </w:r>
    </w:p>
    <w:p w14:paraId="250BECB0">
      <w:pPr>
        <w:snapToGrid w:val="0"/>
        <w:spacing w:line="600" w:lineRule="exact"/>
        <w:ind w:firstLine="210" w:firstLineChars="100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6E8E6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3A1F5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F3A1F5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7DC8F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361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361"/>
    </w:tblGrid>
    <w:tr w14:paraId="0C47637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361" w:type="dxa"/>
          <w:vAlign w:val="top"/>
        </w:tcPr>
        <w:p w14:paraId="27F70F2F">
          <w:pPr>
            <w:pStyle w:val="2"/>
            <w:jc w:val="right"/>
            <w:rPr>
              <w:rFonts w:ascii="宋体" w:hAnsi="宋体"/>
              <w:color w:val="4F81BD"/>
              <w:sz w:val="28"/>
              <w:szCs w:val="28"/>
            </w:rPr>
          </w:pPr>
          <w:r>
            <w:rPr>
              <w:sz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" name="文本框 10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4CD6FF">
                                <w:pPr>
                                  <w:pStyle w:val="2"/>
                                  <w:jc w:val="right"/>
                                </w:pP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宋体" w:hAnsi="宋体"/>
                                    <w:color w:val="4F81BD"/>
                                    <w:sz w:val="28"/>
                                    <w:szCs w:val="28"/>
                                    <w:lang w:val="zh-CN"/>
                                  </w:rPr>
                                  <w:t>-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 xml:space="preserve"> 2 -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wrap="none" lIns="0" tIns="0" rIns="0" bIns="0" upright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 w14:paraId="2F4CD6FF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color w:val="4F81BD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CF51FC0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70749">
    <w:pPr>
      <w:pStyle w:val="2"/>
      <w:tabs>
        <w:tab w:val="left" w:pos="720"/>
      </w:tabs>
      <w:rPr>
        <w:rStyle w:val="6"/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</w:t>
    </w:r>
    <w:r>
      <w:rPr>
        <w:rStyle w:val="6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>1</w:t>
    </w:r>
    <w:r>
      <w:rPr>
        <w:rStyle w:val="6"/>
        <w:sz w:val="28"/>
        <w:szCs w:val="28"/>
      </w:rPr>
      <w:t>—</w:t>
    </w:r>
  </w:p>
  <w:p w14:paraId="274ADE1E">
    <w:pPr>
      <w:pStyle w:val="2"/>
      <w:tabs>
        <w:tab w:val="left" w:pos="720"/>
      </w:tabs>
      <w:rPr>
        <w:rStyle w:val="6"/>
        <w:sz w:val="24"/>
        <w:szCs w:val="24"/>
      </w:rPr>
    </w:pPr>
  </w:p>
  <w:p w14:paraId="2C32EB9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00E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2039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AA20C"/>
    <w:multiLevelType w:val="singleLevel"/>
    <w:tmpl w:val="AA0AA2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D63B40"/>
    <w:multiLevelType w:val="singleLevel"/>
    <w:tmpl w:val="49D63B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14CC7"/>
    <w:rsid w:val="142C6E96"/>
    <w:rsid w:val="1D632B86"/>
    <w:rsid w:val="214578CE"/>
    <w:rsid w:val="28973E15"/>
    <w:rsid w:val="3ABB482F"/>
    <w:rsid w:val="480D18DA"/>
    <w:rsid w:val="4CD42B66"/>
    <w:rsid w:val="4FB6377A"/>
    <w:rsid w:val="57075B88"/>
    <w:rsid w:val="68D33FA8"/>
    <w:rsid w:val="6CBC7E0E"/>
    <w:rsid w:val="6EDBB2CF"/>
    <w:rsid w:val="6F593781"/>
    <w:rsid w:val="78B72888"/>
    <w:rsid w:val="DEF31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969</Characters>
  <Lines>0</Lines>
  <Paragraphs>0</Paragraphs>
  <TotalTime>31</TotalTime>
  <ScaleCrop>false</ScaleCrop>
  <LinksUpToDate>false</LinksUpToDate>
  <CharactersWithSpaces>999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2025-01-08T01:23:00Z</dcterms:created>
  <dc:creator>Rocky</dc:creator>
  <cp:lastModifiedBy>谙语</cp:lastModifiedBy>
  <dcterms:modified xsi:type="dcterms:W3CDTF">2025-08-20T07:53:39Z</dcterms:modified>
  <dc:title>天津市滨海新区知识产权局文件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eyJoZGlkIjoiMjZiNTc1NjA3NGE0YWFiYzI2YzNkOTk4MjliOGM0NGYiLCJ1c2VySWQiOiIyMDE1OTE4NTUifQ==</vt:lpwstr>
  </property>
  <property fmtid="{D5CDD505-2E9C-101B-9397-08002B2CF9AE}" pid="4" name="ICV">
    <vt:lpwstr>963196F68A4A4FF8BEFEEB604358B551_13</vt:lpwstr>
  </property>
</Properties>
</file>