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560"/>
        <w:jc w:val="left"/>
        <w:outlineLvl w:val="3"/>
      </w:pPr>
      <w:bookmarkStart w:id="0" w:name="_Toc_4_4_0000000004"/>
      <w:bookmarkStart w:id="8" w:name="_GoBack"/>
      <w:bookmarkEnd w:id="8"/>
      <w:r>
        <w:rPr>
          <w:rFonts w:ascii="方正仿宋_GBK" w:hAnsi="方正仿宋_GBK" w:eastAsia="方正仿宋_GBK" w:cs="方正仿宋_GBK"/>
          <w:sz w:val="28"/>
        </w:rPr>
        <w:t>1.2025年滨海新区知识产权运营促进保护发展工作经费绩效目标表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610101天津市滨海新区知识产权局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2025年滨海新区知识产权运营促进保护发展工作经费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1986900.00</w:t>
            </w:r>
          </w:p>
        </w:tc>
        <w:tc>
          <w:tcPr>
            <w:tcW w:w="1587" w:type="dxa"/>
            <w:vAlign w:val="center"/>
          </w:tcPr>
          <w:p>
            <w:pPr>
              <w:pStyle w:val="14"/>
            </w:pPr>
            <w:r>
              <w:t>其中：财政    资金</w:t>
            </w:r>
          </w:p>
        </w:tc>
        <w:tc>
          <w:tcPr>
            <w:tcW w:w="1843" w:type="dxa"/>
            <w:vAlign w:val="center"/>
          </w:tcPr>
          <w:p>
            <w:pPr>
              <w:pStyle w:val="13"/>
            </w:pPr>
            <w:r>
              <w:t>1986900.00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1.通过实施商标品牌培育工程，打造区域知名商标，构建滨海新区“产业+品牌+产品+服务”特色发展模式。通过培育专利标准融合试点，强化重点领域专利战略与标准战略相结合，引导滨海新区创新主体开展专利与标准协同管理，支持将科研成果和优势技术转化为标准，探索形成含有必要专利的相关行业标准，提升滨海新区创新主体行业影响力和核心竞争力。通过建立滨海新区知识产权战略研究基地，协助收集、处理滨海新区相关企业、产业、区域知识产权基础数据和相关情况，指导滨海新区知识产权行业发展，为国家知识产权强市建设示范城市和国家知识产权保护示范区建设提供智库保障。完成10场以上滨海新区“一月一链”专利产业化系列对接活动；顺利通过国家知识产权局关于国家知识产权强市建设示范城市建设的验收考评。2.用于为新区知识产权重点企业提供专利情报检索、收集、识别、分析服务，全面提升企业知识产权创新能力和保护意识。用于委托知识产权服务机构支撑知识产权保护工作站和维权援助中心建设，推动知识产权保护体系向基层延伸，提高知识产权保护服务的便利性。用于知识产权保护宣传活动，更新维护知识产权法治文化主题公园，不断增强知识产权保护影响力和覆盖面。3.通过参加参加国际知识产权会议或研讨会，引进海外服务机构进入滨海新区，推进营商环境国际化。</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实施商标品牌培育工程，打造区域知名商标，构建滨海新区“产业+品牌+产品+服务”特色发展模式。通过培育专利标准融合试点，强化重点领域专利战略与标准战略相结合，引导滨海新区创新主体开展专利与标准协同管理，支持将科研成果和优势技术转化为标准，探索形成含有必要专利的相关行业标准，提升滨海新区创新主体行业影响力和核心竞争力。通过建立滨海新区知识产权战略研究基地，协助收集、处理滨海新区相关企业、产业、区域知识产权基础数据和相关情况，指导滨海新区知识产权行业发展，为国家知识产权强市建设示范城市和国家知识产权保护示范区建设提供智库保障。完成10场以上滨海新区“一月一链”专利产业化系列对接活动；顺利通过国家知识产权局关于国家知识产权强市建设示范城市建设的验收考评。</w:t>
            </w:r>
            <w:r>
              <w:tab/>
            </w:r>
            <w:r>
              <w:tab/>
            </w:r>
            <w:r>
              <w:tab/>
            </w:r>
            <w:r>
              <w:tab/>
            </w:r>
            <w:r>
              <w:tab/>
            </w:r>
            <w:r>
              <w:tab/>
            </w:r>
          </w:p>
          <w:p>
            <w:pPr>
              <w:pStyle w:val="13"/>
            </w:pPr>
          </w:p>
          <w:p>
            <w:pPr>
              <w:pStyle w:val="13"/>
            </w:pPr>
            <w:r>
              <w:t>2.用于为新区知识产权重点企业提供专利情报检索、收集、识别、分析服务，全面提升企业知识产权创新能力和保护意识。用于委托知识产权服务机构支撑知识产权保护工作站和维权援助中心建设，推动知识产权保护体系向基层延伸，提高知识产权保护服务的便利性。用于知识产权保护宣传活动，更新维护知识产权法治文化主题公园，不断增强知识产权保护影响力和覆盖面。</w:t>
            </w:r>
            <w:r>
              <w:tab/>
            </w:r>
            <w:r>
              <w:tab/>
            </w:r>
            <w:r>
              <w:tab/>
            </w:r>
            <w:r>
              <w:tab/>
            </w:r>
            <w:r>
              <w:tab/>
            </w:r>
            <w:r>
              <w:tab/>
            </w:r>
          </w:p>
          <w:p>
            <w:pPr>
              <w:pStyle w:val="13"/>
            </w:pPr>
          </w:p>
          <w:p>
            <w:pPr>
              <w:pStyle w:val="13"/>
            </w:pPr>
            <w:r>
              <w:t>3.通过参加参加国际知识产权会议或研讨会，引进海外服务机构进入滨海新区，推进营商环境国际化。</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顶层设计与技术咨询服务项目</w:t>
            </w:r>
          </w:p>
        </w:tc>
        <w:tc>
          <w:tcPr>
            <w:tcW w:w="3430" w:type="dxa"/>
            <w:vAlign w:val="center"/>
          </w:tcPr>
          <w:p>
            <w:pPr>
              <w:pStyle w:val="13"/>
            </w:pPr>
            <w:r>
              <w:t>顶层设计与技术咨询服务项目</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组织受理、评审、验收项目</w:t>
            </w:r>
          </w:p>
        </w:tc>
        <w:tc>
          <w:tcPr>
            <w:tcW w:w="3430" w:type="dxa"/>
            <w:vAlign w:val="center"/>
          </w:tcPr>
          <w:p>
            <w:pPr>
              <w:pStyle w:val="13"/>
            </w:pPr>
            <w:r>
              <w:t>组织受理、评审、验收项目</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培育区级商标战略实施示范企业</w:t>
            </w:r>
          </w:p>
        </w:tc>
        <w:tc>
          <w:tcPr>
            <w:tcW w:w="3430" w:type="dxa"/>
            <w:vAlign w:val="center"/>
          </w:tcPr>
          <w:p>
            <w:pPr>
              <w:pStyle w:val="13"/>
            </w:pPr>
            <w:r>
              <w:t>培育区级商标战略实施示范企业</w:t>
            </w:r>
          </w:p>
        </w:tc>
        <w:tc>
          <w:tcPr>
            <w:tcW w:w="2551" w:type="dxa"/>
            <w:vAlign w:val="center"/>
          </w:tcPr>
          <w:p>
            <w:pPr>
              <w:pStyle w:val="13"/>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培育专利标准融合试点</w:t>
            </w:r>
          </w:p>
        </w:tc>
        <w:tc>
          <w:tcPr>
            <w:tcW w:w="3430" w:type="dxa"/>
            <w:vAlign w:val="center"/>
          </w:tcPr>
          <w:p>
            <w:pPr>
              <w:pStyle w:val="13"/>
            </w:pPr>
            <w:r>
              <w:t>培育专利标准融合试点</w:t>
            </w:r>
          </w:p>
        </w:tc>
        <w:tc>
          <w:tcPr>
            <w:tcW w:w="2551" w:type="dxa"/>
            <w:vAlign w:val="center"/>
          </w:tcPr>
          <w:p>
            <w:pPr>
              <w:pStyle w:val="13"/>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建立滨海新区知识产权战略研究基地</w:t>
            </w:r>
          </w:p>
        </w:tc>
        <w:tc>
          <w:tcPr>
            <w:tcW w:w="3430" w:type="dxa"/>
            <w:vAlign w:val="center"/>
          </w:tcPr>
          <w:p>
            <w:pPr>
              <w:pStyle w:val="13"/>
            </w:pPr>
            <w:r>
              <w:t>建立滨海新区知识产权战略研究基地</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开展“一月一链”专利产业化系列活动</w:t>
            </w:r>
          </w:p>
        </w:tc>
        <w:tc>
          <w:tcPr>
            <w:tcW w:w="3430" w:type="dxa"/>
            <w:vAlign w:val="center"/>
          </w:tcPr>
          <w:p>
            <w:pPr>
              <w:pStyle w:val="13"/>
            </w:pPr>
            <w:r>
              <w:t>开展“一月一链”专利产业化系列活动开展“一月一链”专利产业化系列活动</w:t>
            </w:r>
          </w:p>
        </w:tc>
        <w:tc>
          <w:tcPr>
            <w:tcW w:w="2551" w:type="dxa"/>
            <w:vAlign w:val="center"/>
          </w:tcPr>
          <w:p>
            <w:pPr>
              <w:pStyle w:val="13"/>
            </w:pPr>
            <w:r>
              <w:t>≥10场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完成国家知识产权强市建设示范城市建设成效评估评价并出具相关报告</w:t>
            </w:r>
          </w:p>
        </w:tc>
        <w:tc>
          <w:tcPr>
            <w:tcW w:w="3430" w:type="dxa"/>
            <w:vAlign w:val="center"/>
          </w:tcPr>
          <w:p>
            <w:pPr>
              <w:pStyle w:val="13"/>
            </w:pPr>
            <w:r>
              <w:t>完成国家知识产权强市建设示范城市建设成效评估评价并出具相关报告</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支撑服务知识产权保护工作站和维权援助中心</w:t>
            </w:r>
          </w:p>
        </w:tc>
        <w:tc>
          <w:tcPr>
            <w:tcW w:w="3430" w:type="dxa"/>
            <w:vAlign w:val="center"/>
          </w:tcPr>
          <w:p>
            <w:pPr>
              <w:pStyle w:val="13"/>
            </w:pPr>
            <w:r>
              <w:t>支撑服务知识产权保护工作站和维权援助中心</w:t>
            </w:r>
          </w:p>
        </w:tc>
        <w:tc>
          <w:tcPr>
            <w:tcW w:w="2551" w:type="dxa"/>
            <w:vAlign w:val="center"/>
          </w:tcPr>
          <w:p>
            <w:pPr>
              <w:pStyle w:val="13"/>
            </w:pPr>
            <w:r>
              <w:t>≥15家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形成专利情报检索、收集、识别、分析报告</w:t>
            </w:r>
          </w:p>
        </w:tc>
        <w:tc>
          <w:tcPr>
            <w:tcW w:w="3430" w:type="dxa"/>
            <w:vAlign w:val="center"/>
          </w:tcPr>
          <w:p>
            <w:pPr>
              <w:pStyle w:val="13"/>
            </w:pPr>
            <w:r>
              <w:t>形成专利情报检索、收集、识别、分析报告</w:t>
            </w:r>
          </w:p>
        </w:tc>
        <w:tc>
          <w:tcPr>
            <w:tcW w:w="2551" w:type="dxa"/>
            <w:vAlign w:val="center"/>
          </w:tcPr>
          <w:p>
            <w:pPr>
              <w:pStyle w:val="13"/>
            </w:pPr>
            <w:r>
              <w:t>≥2份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开展知识产权保护宣传活动</w:t>
            </w:r>
          </w:p>
        </w:tc>
        <w:tc>
          <w:tcPr>
            <w:tcW w:w="3430" w:type="dxa"/>
            <w:vAlign w:val="center"/>
          </w:tcPr>
          <w:p>
            <w:pPr>
              <w:pStyle w:val="13"/>
            </w:pPr>
            <w:r>
              <w:t>开展知识产权保护宣传活动</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更新维护知识产权法治文化主题公园</w:t>
            </w:r>
          </w:p>
        </w:tc>
        <w:tc>
          <w:tcPr>
            <w:tcW w:w="3430" w:type="dxa"/>
            <w:vAlign w:val="center"/>
          </w:tcPr>
          <w:p>
            <w:pPr>
              <w:pStyle w:val="13"/>
            </w:pPr>
            <w:r>
              <w:t>更新维护知识产权法治文化主题公园</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参加国际知识产权会议或研讨会</w:t>
            </w:r>
          </w:p>
        </w:tc>
        <w:tc>
          <w:tcPr>
            <w:tcW w:w="3430" w:type="dxa"/>
            <w:vAlign w:val="center"/>
          </w:tcPr>
          <w:p>
            <w:pPr>
              <w:pStyle w:val="13"/>
            </w:pPr>
            <w:r>
              <w:t>参加国际知识产权会议或研讨会</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引进海外服务机构</w:t>
            </w:r>
          </w:p>
        </w:tc>
        <w:tc>
          <w:tcPr>
            <w:tcW w:w="3430" w:type="dxa"/>
            <w:vAlign w:val="center"/>
          </w:tcPr>
          <w:p>
            <w:pPr>
              <w:pStyle w:val="13"/>
            </w:pPr>
            <w:r>
              <w:t>引进海外服务机构</w:t>
            </w:r>
          </w:p>
        </w:tc>
        <w:tc>
          <w:tcPr>
            <w:tcW w:w="2551" w:type="dxa"/>
            <w:vAlign w:val="center"/>
          </w:tcPr>
          <w:p>
            <w:pPr>
              <w:pStyle w:val="13"/>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项目验收通过率</w:t>
            </w:r>
          </w:p>
        </w:tc>
        <w:tc>
          <w:tcPr>
            <w:tcW w:w="3430" w:type="dxa"/>
            <w:vAlign w:val="center"/>
          </w:tcPr>
          <w:p>
            <w:pPr>
              <w:pStyle w:val="13"/>
            </w:pPr>
            <w:r>
              <w:t>项目验收通过率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滨海新区发明专利增加</w:t>
            </w:r>
          </w:p>
        </w:tc>
        <w:tc>
          <w:tcPr>
            <w:tcW w:w="3430" w:type="dxa"/>
            <w:vAlign w:val="center"/>
          </w:tcPr>
          <w:p>
            <w:pPr>
              <w:pStyle w:val="13"/>
            </w:pPr>
            <w:r>
              <w:t>滨海新区发明专利增加</w:t>
            </w:r>
          </w:p>
        </w:tc>
        <w:tc>
          <w:tcPr>
            <w:tcW w:w="2551" w:type="dxa"/>
            <w:vAlign w:val="center"/>
          </w:tcPr>
          <w:p>
            <w:pPr>
              <w:pStyle w:val="13"/>
            </w:pPr>
            <w:r>
              <w:t>≥2000件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滨海新区高价值专利数量增加</w:t>
            </w:r>
          </w:p>
        </w:tc>
        <w:tc>
          <w:tcPr>
            <w:tcW w:w="3430" w:type="dxa"/>
            <w:vAlign w:val="center"/>
          </w:tcPr>
          <w:p>
            <w:pPr>
              <w:pStyle w:val="13"/>
            </w:pPr>
            <w:r>
              <w:t>滨海新区高价值专利数量增加</w:t>
            </w:r>
          </w:p>
        </w:tc>
        <w:tc>
          <w:tcPr>
            <w:tcW w:w="2551" w:type="dxa"/>
            <w:vAlign w:val="center"/>
          </w:tcPr>
          <w:p>
            <w:pPr>
              <w:pStyle w:val="13"/>
            </w:pPr>
            <w:r>
              <w:t>≥1000件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知识产权保护咨询服务完成率</w:t>
            </w:r>
          </w:p>
        </w:tc>
        <w:tc>
          <w:tcPr>
            <w:tcW w:w="3430" w:type="dxa"/>
            <w:vAlign w:val="center"/>
          </w:tcPr>
          <w:p>
            <w:pPr>
              <w:pStyle w:val="13"/>
            </w:pPr>
            <w:r>
              <w:t>知识产权保护咨询服务完成率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专项资金发放时间</w:t>
            </w:r>
          </w:p>
        </w:tc>
        <w:tc>
          <w:tcPr>
            <w:tcW w:w="3430" w:type="dxa"/>
            <w:vAlign w:val="center"/>
          </w:tcPr>
          <w:p>
            <w:pPr>
              <w:pStyle w:val="13"/>
            </w:pPr>
            <w:r>
              <w:t>专项资金发放时间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3430" w:type="dxa"/>
            <w:vAlign w:val="center"/>
          </w:tcPr>
          <w:p>
            <w:pPr>
              <w:pStyle w:val="13"/>
            </w:pPr>
            <w:r>
              <w:t>项目完成时间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顶层设计与技术咨询服务项目</w:t>
            </w:r>
          </w:p>
        </w:tc>
        <w:tc>
          <w:tcPr>
            <w:tcW w:w="3430" w:type="dxa"/>
            <w:vAlign w:val="center"/>
          </w:tcPr>
          <w:p>
            <w:pPr>
              <w:pStyle w:val="13"/>
            </w:pPr>
            <w:r>
              <w:t>顶层设计与技术咨询服务项目</w:t>
            </w:r>
          </w:p>
        </w:tc>
        <w:tc>
          <w:tcPr>
            <w:tcW w:w="2551" w:type="dxa"/>
            <w:vAlign w:val="center"/>
          </w:tcPr>
          <w:p>
            <w:pPr>
              <w:pStyle w:val="13"/>
            </w:pPr>
            <w:r>
              <w:t>≤60.54万元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项目受理、评审、验收</w:t>
            </w:r>
          </w:p>
        </w:tc>
        <w:tc>
          <w:tcPr>
            <w:tcW w:w="3430" w:type="dxa"/>
            <w:vAlign w:val="center"/>
          </w:tcPr>
          <w:p>
            <w:pPr>
              <w:pStyle w:val="13"/>
            </w:pPr>
            <w:r>
              <w:t>项目受理、评审、验收</w:t>
            </w:r>
          </w:p>
        </w:tc>
        <w:tc>
          <w:tcPr>
            <w:tcW w:w="2551" w:type="dxa"/>
            <w:vAlign w:val="center"/>
          </w:tcPr>
          <w:p>
            <w:pPr>
              <w:pStyle w:val="13"/>
            </w:pPr>
            <w:r>
              <w:t>≤39.46万元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培育1个区级商标战略实施示范企业</w:t>
            </w:r>
          </w:p>
        </w:tc>
        <w:tc>
          <w:tcPr>
            <w:tcW w:w="3430" w:type="dxa"/>
            <w:vAlign w:val="center"/>
          </w:tcPr>
          <w:p>
            <w:pPr>
              <w:pStyle w:val="13"/>
            </w:pPr>
            <w:r>
              <w:t>培育1个区级商标战略实施示范企业</w:t>
            </w:r>
          </w:p>
        </w:tc>
        <w:tc>
          <w:tcPr>
            <w:tcW w:w="2551" w:type="dxa"/>
            <w:vAlign w:val="center"/>
          </w:tcPr>
          <w:p>
            <w:pPr>
              <w:pStyle w:val="13"/>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培育1个专利标准融合试点</w:t>
            </w:r>
          </w:p>
        </w:tc>
        <w:tc>
          <w:tcPr>
            <w:tcW w:w="3430" w:type="dxa"/>
            <w:vAlign w:val="center"/>
          </w:tcPr>
          <w:p>
            <w:pPr>
              <w:pStyle w:val="13"/>
            </w:pPr>
            <w:r>
              <w:t>培育1个专利标准融合试点</w:t>
            </w:r>
          </w:p>
        </w:tc>
        <w:tc>
          <w:tcPr>
            <w:tcW w:w="2551" w:type="dxa"/>
            <w:vAlign w:val="center"/>
          </w:tcPr>
          <w:p>
            <w:pPr>
              <w:pStyle w:val="13"/>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建立1个滨海新区知识产权战略研究基地</w:t>
            </w:r>
          </w:p>
        </w:tc>
        <w:tc>
          <w:tcPr>
            <w:tcW w:w="3430" w:type="dxa"/>
            <w:vAlign w:val="center"/>
          </w:tcPr>
          <w:p>
            <w:pPr>
              <w:pStyle w:val="13"/>
            </w:pPr>
            <w:r>
              <w:t>建立1个滨海新区知识产权战略研究基地</w:t>
            </w:r>
          </w:p>
        </w:tc>
        <w:tc>
          <w:tcPr>
            <w:tcW w:w="2551" w:type="dxa"/>
            <w:vAlign w:val="center"/>
          </w:tcPr>
          <w:p>
            <w:pPr>
              <w:pStyle w:val="13"/>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平均每场“一月一链”专利产业化系列活动</w:t>
            </w:r>
          </w:p>
        </w:tc>
        <w:tc>
          <w:tcPr>
            <w:tcW w:w="3430" w:type="dxa"/>
            <w:vAlign w:val="center"/>
          </w:tcPr>
          <w:p>
            <w:pPr>
              <w:pStyle w:val="13"/>
            </w:pPr>
            <w:r>
              <w:t>平均每场“一月一链”专利产业化系列活动</w:t>
            </w:r>
          </w:p>
        </w:tc>
        <w:tc>
          <w:tcPr>
            <w:tcW w:w="2551" w:type="dxa"/>
            <w:vAlign w:val="center"/>
          </w:tcPr>
          <w:p>
            <w:pPr>
              <w:pStyle w:val="13"/>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组织协助开展示范城市建设成效评估和评价工作</w:t>
            </w:r>
          </w:p>
        </w:tc>
        <w:tc>
          <w:tcPr>
            <w:tcW w:w="3430" w:type="dxa"/>
            <w:vAlign w:val="center"/>
          </w:tcPr>
          <w:p>
            <w:pPr>
              <w:pStyle w:val="13"/>
            </w:pPr>
            <w:r>
              <w:t>组织协助开展示范城市建设成效评估和评价工作</w:t>
            </w:r>
          </w:p>
        </w:tc>
        <w:tc>
          <w:tcPr>
            <w:tcW w:w="2551" w:type="dxa"/>
            <w:vAlign w:val="center"/>
          </w:tcPr>
          <w:p>
            <w:pPr>
              <w:pStyle w:val="13"/>
            </w:pPr>
            <w:r>
              <w:t>≤18.69万元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每家知识产权保护工作站和维权援助中心支撑费用</w:t>
            </w:r>
          </w:p>
        </w:tc>
        <w:tc>
          <w:tcPr>
            <w:tcW w:w="3430" w:type="dxa"/>
            <w:vAlign w:val="center"/>
          </w:tcPr>
          <w:p>
            <w:pPr>
              <w:pStyle w:val="13"/>
            </w:pPr>
            <w:r>
              <w:t>每家知识产权保护工作站和维权援助中心支撑费用</w:t>
            </w:r>
          </w:p>
        </w:tc>
        <w:tc>
          <w:tcPr>
            <w:tcW w:w="2551" w:type="dxa"/>
            <w:vAlign w:val="center"/>
          </w:tcPr>
          <w:p>
            <w:pPr>
              <w:pStyle w:val="13"/>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每份专利情报检索、收集、识别、分析报告费用</w:t>
            </w:r>
          </w:p>
        </w:tc>
        <w:tc>
          <w:tcPr>
            <w:tcW w:w="3430" w:type="dxa"/>
            <w:vAlign w:val="center"/>
          </w:tcPr>
          <w:p>
            <w:pPr>
              <w:pStyle w:val="13"/>
            </w:pPr>
            <w:r>
              <w:t>每份专利情报检索、收集、识别、分析报告费用</w:t>
            </w:r>
          </w:p>
        </w:tc>
        <w:tc>
          <w:tcPr>
            <w:tcW w:w="2551" w:type="dxa"/>
            <w:vAlign w:val="center"/>
          </w:tcPr>
          <w:p>
            <w:pPr>
              <w:pStyle w:val="13"/>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知识产权保护宣传等费用</w:t>
            </w:r>
          </w:p>
        </w:tc>
        <w:tc>
          <w:tcPr>
            <w:tcW w:w="3430" w:type="dxa"/>
            <w:vAlign w:val="center"/>
          </w:tcPr>
          <w:p>
            <w:pPr>
              <w:pStyle w:val="13"/>
            </w:pPr>
            <w:r>
              <w:t>知识产权保护宣传等费用</w:t>
            </w:r>
          </w:p>
        </w:tc>
        <w:tc>
          <w:tcPr>
            <w:tcW w:w="2551" w:type="dxa"/>
            <w:vAlign w:val="center"/>
          </w:tcPr>
          <w:p>
            <w:pPr>
              <w:pStyle w:val="13"/>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每次参加国际知识产权会议和研讨会费用</w:t>
            </w:r>
          </w:p>
        </w:tc>
        <w:tc>
          <w:tcPr>
            <w:tcW w:w="3430" w:type="dxa"/>
            <w:vAlign w:val="center"/>
          </w:tcPr>
          <w:p>
            <w:pPr>
              <w:pStyle w:val="13"/>
            </w:pPr>
            <w:r>
              <w:t>每次参加国际知识产权会议和研讨会费用</w:t>
            </w:r>
          </w:p>
        </w:tc>
        <w:tc>
          <w:tcPr>
            <w:tcW w:w="2551" w:type="dxa"/>
            <w:vAlign w:val="center"/>
          </w:tcPr>
          <w:p>
            <w:pPr>
              <w:pStyle w:val="13"/>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引进1家海外服务机构</w:t>
            </w:r>
          </w:p>
        </w:tc>
        <w:tc>
          <w:tcPr>
            <w:tcW w:w="3430" w:type="dxa"/>
            <w:vAlign w:val="center"/>
          </w:tcPr>
          <w:p>
            <w:pPr>
              <w:pStyle w:val="13"/>
            </w:pPr>
            <w:r>
              <w:t>引进1家海外服务机构</w:t>
            </w:r>
          </w:p>
        </w:tc>
        <w:tc>
          <w:tcPr>
            <w:tcW w:w="2551" w:type="dxa"/>
            <w:vAlign w:val="center"/>
          </w:tcPr>
          <w:p>
            <w:pPr>
              <w:pStyle w:val="13"/>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助力新区知识产权运营体系建设</w:t>
            </w:r>
          </w:p>
        </w:tc>
        <w:tc>
          <w:tcPr>
            <w:tcW w:w="3430" w:type="dxa"/>
            <w:vAlign w:val="center"/>
          </w:tcPr>
          <w:p>
            <w:pPr>
              <w:pStyle w:val="13"/>
            </w:pPr>
            <w:r>
              <w:t>助力新区知识产权运营体系建设</w:t>
            </w:r>
          </w:p>
        </w:tc>
        <w:tc>
          <w:tcPr>
            <w:tcW w:w="2551" w:type="dxa"/>
            <w:vAlign w:val="center"/>
          </w:tcPr>
          <w:p>
            <w:pPr>
              <w:pStyle w:val="13"/>
            </w:pPr>
            <w:r>
              <w:t>作用显著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滨海新区知识产权综合实力</w:t>
            </w:r>
          </w:p>
        </w:tc>
        <w:tc>
          <w:tcPr>
            <w:tcW w:w="3430" w:type="dxa"/>
            <w:vAlign w:val="center"/>
          </w:tcPr>
          <w:p>
            <w:pPr>
              <w:pStyle w:val="13"/>
            </w:pPr>
            <w:r>
              <w:t>滨海新区知识产权综合实力</w:t>
            </w:r>
          </w:p>
        </w:tc>
        <w:tc>
          <w:tcPr>
            <w:tcW w:w="2551" w:type="dxa"/>
            <w:vAlign w:val="center"/>
          </w:tcPr>
          <w:p>
            <w:pPr>
              <w:pStyle w:val="13"/>
            </w:pPr>
            <w:r>
              <w:t>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优化营商环境</w:t>
            </w:r>
          </w:p>
        </w:tc>
        <w:tc>
          <w:tcPr>
            <w:tcW w:w="3430" w:type="dxa"/>
            <w:vAlign w:val="center"/>
          </w:tcPr>
          <w:p>
            <w:pPr>
              <w:pStyle w:val="13"/>
            </w:pPr>
            <w:r>
              <w:t>知识产权体系建设发展</w:t>
            </w:r>
          </w:p>
        </w:tc>
        <w:tc>
          <w:tcPr>
            <w:tcW w:w="2551" w:type="dxa"/>
            <w:vAlign w:val="center"/>
          </w:tcPr>
          <w:p>
            <w:pPr>
              <w:pStyle w:val="13"/>
            </w:pPr>
            <w:r>
              <w:t>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3430" w:type="dxa"/>
            <w:vAlign w:val="center"/>
          </w:tcPr>
          <w:p>
            <w:pPr>
              <w:pStyle w:val="13"/>
            </w:pPr>
            <w:r>
              <w:t>企业满意度</w:t>
            </w:r>
          </w:p>
        </w:tc>
        <w:tc>
          <w:tcPr>
            <w:tcW w:w="2551" w:type="dxa"/>
            <w:vAlign w:val="center"/>
          </w:tcPr>
          <w:p>
            <w:pPr>
              <w:pStyle w:val="13"/>
            </w:pPr>
            <w:r>
              <w:t>≥90%</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sz w:val="28"/>
        </w:rPr>
        <w:t>2.2025年知识产权信息化建设运行维护经费绩效目标表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610101天津市滨海新区知识产权局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2025年知识产权信息化建设运行维护经费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310000.00</w:t>
            </w:r>
          </w:p>
        </w:tc>
        <w:tc>
          <w:tcPr>
            <w:tcW w:w="1587" w:type="dxa"/>
            <w:vAlign w:val="center"/>
          </w:tcPr>
          <w:p>
            <w:pPr>
              <w:pStyle w:val="14"/>
            </w:pPr>
            <w:r>
              <w:t>其中：财政    资金</w:t>
            </w:r>
          </w:p>
        </w:tc>
        <w:tc>
          <w:tcPr>
            <w:tcW w:w="1843" w:type="dxa"/>
            <w:vAlign w:val="center"/>
          </w:tcPr>
          <w:p>
            <w:pPr>
              <w:pStyle w:val="13"/>
            </w:pPr>
            <w:r>
              <w:t>310000.00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通过进行知识产权信息化建设，推动知识产权日常工作正常开展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1.通过购置办公系统建设软硬件设备，实现无纸化办公，提高办公效率</w:t>
            </w:r>
          </w:p>
          <w:p>
            <w:pPr>
              <w:pStyle w:val="13"/>
            </w:pPr>
            <w:r>
              <w:t>2.通过铺设电子政务专网线路,实现办公环境网络正常化</w:t>
            </w:r>
          </w:p>
          <w:p>
            <w:pPr>
              <w:pStyle w:val="13"/>
            </w:pPr>
            <w:r>
              <w:t>3.通过保密网络终端节点综合布线及软件配置，确保保密相关工作正常开展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无纸化办公系统</w:t>
            </w:r>
          </w:p>
        </w:tc>
        <w:tc>
          <w:tcPr>
            <w:tcW w:w="3430" w:type="dxa"/>
            <w:vAlign w:val="center"/>
          </w:tcPr>
          <w:p>
            <w:pPr>
              <w:pStyle w:val="13"/>
            </w:pPr>
            <w:r>
              <w:t>无纸化办公系统</w:t>
            </w:r>
          </w:p>
        </w:tc>
        <w:tc>
          <w:tcPr>
            <w:tcW w:w="2551" w:type="dxa"/>
            <w:vAlign w:val="center"/>
          </w:tcPr>
          <w:p>
            <w:pPr>
              <w:pStyle w:val="13"/>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电子政务专网线路</w:t>
            </w:r>
          </w:p>
        </w:tc>
        <w:tc>
          <w:tcPr>
            <w:tcW w:w="3430" w:type="dxa"/>
            <w:vAlign w:val="center"/>
          </w:tcPr>
          <w:p>
            <w:pPr>
              <w:pStyle w:val="13"/>
            </w:pPr>
            <w:r>
              <w:t>电子政务专网线路</w:t>
            </w:r>
          </w:p>
        </w:tc>
        <w:tc>
          <w:tcPr>
            <w:tcW w:w="2551" w:type="dxa"/>
            <w:vAlign w:val="center"/>
          </w:tcPr>
          <w:p>
            <w:pPr>
              <w:pStyle w:val="13"/>
            </w:pPr>
            <w:r>
              <w:t>1条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保密网络终端节点综合布线及软件配置</w:t>
            </w:r>
          </w:p>
        </w:tc>
        <w:tc>
          <w:tcPr>
            <w:tcW w:w="3430" w:type="dxa"/>
            <w:vAlign w:val="center"/>
          </w:tcPr>
          <w:p>
            <w:pPr>
              <w:pStyle w:val="13"/>
            </w:pPr>
            <w:r>
              <w:t>保密网络终端节点综合布线及软件配置</w:t>
            </w:r>
          </w:p>
        </w:tc>
        <w:tc>
          <w:tcPr>
            <w:tcW w:w="2551" w:type="dxa"/>
            <w:vAlign w:val="center"/>
          </w:tcPr>
          <w:p>
            <w:pPr>
              <w:pStyle w:val="13"/>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无纸化办公系统性能达标率</w:t>
            </w:r>
          </w:p>
        </w:tc>
        <w:tc>
          <w:tcPr>
            <w:tcW w:w="3430" w:type="dxa"/>
            <w:vAlign w:val="center"/>
          </w:tcPr>
          <w:p>
            <w:pPr>
              <w:pStyle w:val="13"/>
            </w:pPr>
            <w:r>
              <w:t>无纸化办公系统性能达标率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专网租赁网络响应速度</w:t>
            </w:r>
          </w:p>
        </w:tc>
        <w:tc>
          <w:tcPr>
            <w:tcW w:w="3430" w:type="dxa"/>
            <w:vAlign w:val="center"/>
          </w:tcPr>
          <w:p>
            <w:pPr>
              <w:pStyle w:val="13"/>
            </w:pPr>
            <w:r>
              <w:t>专网租赁网络响应速度</w:t>
            </w:r>
          </w:p>
        </w:tc>
        <w:tc>
          <w:tcPr>
            <w:tcW w:w="2551" w:type="dxa"/>
            <w:vAlign w:val="center"/>
          </w:tcPr>
          <w:p>
            <w:pPr>
              <w:pStyle w:val="13"/>
            </w:pPr>
            <w:r>
              <w:t>≥2兆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保密设备网络正常运转率</w:t>
            </w:r>
          </w:p>
        </w:tc>
        <w:tc>
          <w:tcPr>
            <w:tcW w:w="3430" w:type="dxa"/>
            <w:vAlign w:val="center"/>
          </w:tcPr>
          <w:p>
            <w:pPr>
              <w:pStyle w:val="13"/>
            </w:pPr>
            <w:r>
              <w:t>保密设备网络正常运转率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无纸化办公系统建设完成时间</w:t>
            </w:r>
          </w:p>
        </w:tc>
        <w:tc>
          <w:tcPr>
            <w:tcW w:w="3430" w:type="dxa"/>
            <w:vAlign w:val="center"/>
          </w:tcPr>
          <w:p>
            <w:pPr>
              <w:pStyle w:val="13"/>
            </w:pPr>
            <w:r>
              <w:t>无纸化办公系统建设完成时间</w:t>
            </w:r>
          </w:p>
        </w:tc>
        <w:tc>
          <w:tcPr>
            <w:tcW w:w="2551" w:type="dxa"/>
            <w:vAlign w:val="center"/>
          </w:tcPr>
          <w:p>
            <w:pPr>
              <w:pStyle w:val="13"/>
            </w:pPr>
            <w:r>
              <w:t>2015年12月前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完成线路租赁使用</w:t>
            </w:r>
          </w:p>
        </w:tc>
        <w:tc>
          <w:tcPr>
            <w:tcW w:w="3430" w:type="dxa"/>
            <w:vAlign w:val="center"/>
          </w:tcPr>
          <w:p>
            <w:pPr>
              <w:pStyle w:val="13"/>
            </w:pPr>
            <w:r>
              <w:t>完成线路租赁使用</w:t>
            </w:r>
          </w:p>
        </w:tc>
        <w:tc>
          <w:tcPr>
            <w:tcW w:w="2551" w:type="dxa"/>
            <w:vAlign w:val="center"/>
          </w:tcPr>
          <w:p>
            <w:pPr>
              <w:pStyle w:val="13"/>
            </w:pPr>
            <w:r>
              <w:t>2015年12月前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保密网络终端节点综合布线完成时间</w:t>
            </w:r>
          </w:p>
        </w:tc>
        <w:tc>
          <w:tcPr>
            <w:tcW w:w="3430" w:type="dxa"/>
            <w:vAlign w:val="center"/>
          </w:tcPr>
          <w:p>
            <w:pPr>
              <w:pStyle w:val="13"/>
            </w:pPr>
            <w:r>
              <w:t>保密网络终端节点综合布线完成时间</w:t>
            </w:r>
          </w:p>
        </w:tc>
        <w:tc>
          <w:tcPr>
            <w:tcW w:w="2551" w:type="dxa"/>
            <w:vAlign w:val="center"/>
          </w:tcPr>
          <w:p>
            <w:pPr>
              <w:pStyle w:val="13"/>
            </w:pPr>
            <w:r>
              <w:t>2025年1月—12月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每套无纸化办公系统</w:t>
            </w:r>
          </w:p>
        </w:tc>
        <w:tc>
          <w:tcPr>
            <w:tcW w:w="3430" w:type="dxa"/>
            <w:vAlign w:val="center"/>
          </w:tcPr>
          <w:p>
            <w:pPr>
              <w:pStyle w:val="13"/>
            </w:pPr>
            <w:r>
              <w:t>每套无纸化办公系统</w:t>
            </w:r>
          </w:p>
        </w:tc>
        <w:tc>
          <w:tcPr>
            <w:tcW w:w="2551" w:type="dxa"/>
            <w:vAlign w:val="center"/>
          </w:tcPr>
          <w:p>
            <w:pPr>
              <w:pStyle w:val="13"/>
            </w:pPr>
            <w:r>
              <w:t>≤280000元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每月支付专网租赁费</w:t>
            </w:r>
          </w:p>
        </w:tc>
        <w:tc>
          <w:tcPr>
            <w:tcW w:w="3430" w:type="dxa"/>
            <w:vAlign w:val="center"/>
          </w:tcPr>
          <w:p>
            <w:pPr>
              <w:pStyle w:val="13"/>
            </w:pPr>
            <w:r>
              <w:t>每月支付专网租赁费</w:t>
            </w:r>
          </w:p>
        </w:tc>
        <w:tc>
          <w:tcPr>
            <w:tcW w:w="2551" w:type="dxa"/>
            <w:vAlign w:val="center"/>
          </w:tcPr>
          <w:p>
            <w:pPr>
              <w:pStyle w:val="13"/>
            </w:pPr>
            <w:r>
              <w:t>≤9500元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每月信息化运行维护费用</w:t>
            </w:r>
          </w:p>
        </w:tc>
        <w:tc>
          <w:tcPr>
            <w:tcW w:w="3430" w:type="dxa"/>
            <w:vAlign w:val="center"/>
          </w:tcPr>
          <w:p>
            <w:pPr>
              <w:pStyle w:val="13"/>
            </w:pPr>
            <w:r>
              <w:t>每月信息化运行维护费用</w:t>
            </w:r>
          </w:p>
        </w:tc>
        <w:tc>
          <w:tcPr>
            <w:tcW w:w="2551" w:type="dxa"/>
            <w:vAlign w:val="center"/>
          </w:tcPr>
          <w:p>
            <w:pPr>
              <w:pStyle w:val="13"/>
            </w:pPr>
            <w:r>
              <w:t>≤20500元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提升日常业务效率和水平</w:t>
            </w:r>
          </w:p>
        </w:tc>
        <w:tc>
          <w:tcPr>
            <w:tcW w:w="3430" w:type="dxa"/>
            <w:vAlign w:val="center"/>
          </w:tcPr>
          <w:p>
            <w:pPr>
              <w:pStyle w:val="13"/>
            </w:pPr>
            <w:r>
              <w:t>提升日常业务效率和水平</w:t>
            </w:r>
          </w:p>
        </w:tc>
        <w:tc>
          <w:tcPr>
            <w:tcW w:w="2551" w:type="dxa"/>
            <w:vAlign w:val="center"/>
          </w:tcPr>
          <w:p>
            <w:pPr>
              <w:pStyle w:val="13"/>
            </w:pPr>
            <w:r>
              <w:t>持续改善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提升信息化建设水平</w:t>
            </w:r>
          </w:p>
        </w:tc>
        <w:tc>
          <w:tcPr>
            <w:tcW w:w="3430" w:type="dxa"/>
            <w:vAlign w:val="center"/>
          </w:tcPr>
          <w:p>
            <w:pPr>
              <w:pStyle w:val="13"/>
            </w:pPr>
            <w:r>
              <w:t>提升信息化建设水平</w:t>
            </w:r>
          </w:p>
        </w:tc>
        <w:tc>
          <w:tcPr>
            <w:tcW w:w="2551" w:type="dxa"/>
            <w:vAlign w:val="center"/>
          </w:tcPr>
          <w:p>
            <w:pPr>
              <w:pStyle w:val="13"/>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干部职满意度</w:t>
            </w:r>
          </w:p>
        </w:tc>
        <w:tc>
          <w:tcPr>
            <w:tcW w:w="3430" w:type="dxa"/>
            <w:vAlign w:val="center"/>
          </w:tcPr>
          <w:p>
            <w:pPr>
              <w:pStyle w:val="13"/>
            </w:pPr>
            <w:r>
              <w:t>干部职满意度</w:t>
            </w:r>
          </w:p>
        </w:tc>
        <w:tc>
          <w:tcPr>
            <w:tcW w:w="2551"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知识产权服务企业满意度</w:t>
            </w:r>
          </w:p>
        </w:tc>
        <w:tc>
          <w:tcPr>
            <w:tcW w:w="3430" w:type="dxa"/>
            <w:vAlign w:val="center"/>
          </w:tcPr>
          <w:p>
            <w:pPr>
              <w:pStyle w:val="13"/>
            </w:pPr>
            <w:r>
              <w:t>知识产权服务企业满意度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sz w:val="28"/>
        </w:rPr>
        <w:t>3.2025年知识产权融资风险补偿金（2020年第一批服务业发展资金）（津财教指【2020】79号）（自有资金）（其他收入资金）绩效目标表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610101天津市滨海新区知识产权局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2025年知识产权融资风险补偿金（2020年第一批服务业发展资金）（津财教指【2020】79号）（自有资金）（其他收入资金）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50000000.00</w:t>
            </w:r>
          </w:p>
        </w:tc>
        <w:tc>
          <w:tcPr>
            <w:tcW w:w="1587" w:type="dxa"/>
            <w:vAlign w:val="center"/>
          </w:tcPr>
          <w:p>
            <w:pPr>
              <w:pStyle w:val="14"/>
            </w:pPr>
            <w:r>
              <w:t>其中：财政    资金</w:t>
            </w:r>
          </w:p>
        </w:tc>
        <w:tc>
          <w:tcPr>
            <w:tcW w:w="1843" w:type="dxa"/>
            <w:vAlign w:val="center"/>
          </w:tcPr>
          <w:p>
            <w:pPr>
              <w:pStyle w:val="13"/>
            </w:pPr>
            <w:r>
              <w:t xml:space="preserve"> </w:t>
            </w:r>
          </w:p>
        </w:tc>
        <w:tc>
          <w:tcPr>
            <w:tcW w:w="1276" w:type="dxa"/>
            <w:vAlign w:val="center"/>
          </w:tcPr>
          <w:p>
            <w:pPr>
              <w:pStyle w:val="14"/>
            </w:pPr>
            <w:r>
              <w:t>其他资金</w:t>
            </w:r>
          </w:p>
        </w:tc>
        <w:tc>
          <w:tcPr>
            <w:tcW w:w="1276" w:type="dxa"/>
            <w:vAlign w:val="center"/>
          </w:tcPr>
          <w:p>
            <w:pPr>
              <w:pStyle w:val="13"/>
            </w:pPr>
            <w:r>
              <w:t>50000000.00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通过设立融资风险补偿金，降低银行等金融机构为滨海新区企业提供知识产权融资的本金损失，推动知识产权质押融资工作良好发展。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1.通过设立融资风险补偿金，降低银行等金融机构为滨海新区企业提供知识产权融资的本金损失，推动知识产权质押融资工作良好发展。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设立知识产权融资风险补偿金</w:t>
            </w:r>
          </w:p>
        </w:tc>
        <w:tc>
          <w:tcPr>
            <w:tcW w:w="3430" w:type="dxa"/>
            <w:vAlign w:val="center"/>
          </w:tcPr>
          <w:p>
            <w:pPr>
              <w:pStyle w:val="13"/>
            </w:pPr>
            <w:r>
              <w:t>设立知识产权融资风险补偿金</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融资风险补偿资金发放合规率</w:t>
            </w:r>
          </w:p>
        </w:tc>
        <w:tc>
          <w:tcPr>
            <w:tcW w:w="3430" w:type="dxa"/>
            <w:vAlign w:val="center"/>
          </w:tcPr>
          <w:p>
            <w:pPr>
              <w:pStyle w:val="13"/>
            </w:pPr>
            <w:r>
              <w:t>融资风险补偿资金发放合规率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单笔融资业务本金损失率</w:t>
            </w:r>
          </w:p>
        </w:tc>
        <w:tc>
          <w:tcPr>
            <w:tcW w:w="3430" w:type="dxa"/>
            <w:vAlign w:val="center"/>
          </w:tcPr>
          <w:p>
            <w:pPr>
              <w:pStyle w:val="13"/>
            </w:pPr>
            <w:r>
              <w:t>单笔融资业务本金损失率</w:t>
            </w:r>
          </w:p>
        </w:tc>
        <w:tc>
          <w:tcPr>
            <w:tcW w:w="2551" w:type="dxa"/>
            <w:vAlign w:val="center"/>
          </w:tcPr>
          <w:p>
            <w:pPr>
              <w:pStyle w:val="13"/>
            </w:pPr>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项目截止时间</w:t>
            </w:r>
          </w:p>
        </w:tc>
        <w:tc>
          <w:tcPr>
            <w:tcW w:w="3430" w:type="dxa"/>
            <w:vAlign w:val="center"/>
          </w:tcPr>
          <w:p>
            <w:pPr>
              <w:pStyle w:val="13"/>
            </w:pPr>
            <w:r>
              <w:t>项目截止时间</w:t>
            </w:r>
          </w:p>
        </w:tc>
        <w:tc>
          <w:tcPr>
            <w:tcW w:w="2551" w:type="dxa"/>
            <w:vAlign w:val="center"/>
          </w:tcPr>
          <w:p>
            <w:pPr>
              <w:pStyle w:val="13"/>
            </w:pPr>
            <w:r>
              <w:t>2025年12月前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管理机构运行成本</w:t>
            </w:r>
          </w:p>
        </w:tc>
        <w:tc>
          <w:tcPr>
            <w:tcW w:w="3430" w:type="dxa"/>
            <w:vAlign w:val="center"/>
          </w:tcPr>
          <w:p>
            <w:pPr>
              <w:pStyle w:val="13"/>
            </w:pPr>
            <w:r>
              <w:t>每年管理融资风险补偿金机构费用</w:t>
            </w:r>
          </w:p>
        </w:tc>
        <w:tc>
          <w:tcPr>
            <w:tcW w:w="2551" w:type="dxa"/>
            <w:vAlign w:val="center"/>
          </w:tcPr>
          <w:p>
            <w:pPr>
              <w:pStyle w:val="13"/>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承担单笔融资业务本金损失部分</w:t>
            </w:r>
          </w:p>
        </w:tc>
        <w:tc>
          <w:tcPr>
            <w:tcW w:w="3430" w:type="dxa"/>
            <w:vAlign w:val="center"/>
          </w:tcPr>
          <w:p>
            <w:pPr>
              <w:pStyle w:val="13"/>
            </w:pPr>
            <w:r>
              <w:t>承担单笔融资业务本金损失部分</w:t>
            </w:r>
          </w:p>
        </w:tc>
        <w:tc>
          <w:tcPr>
            <w:tcW w:w="2551" w:type="dxa"/>
            <w:vAlign w:val="center"/>
          </w:tcPr>
          <w:p>
            <w:pPr>
              <w:pStyle w:val="13"/>
            </w:pPr>
            <w: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滨海新区知识产权质押融资环境</w:t>
            </w:r>
          </w:p>
        </w:tc>
        <w:tc>
          <w:tcPr>
            <w:tcW w:w="3430" w:type="dxa"/>
            <w:vAlign w:val="center"/>
          </w:tcPr>
          <w:p>
            <w:pPr>
              <w:pStyle w:val="13"/>
            </w:pPr>
            <w:r>
              <w:t>滨海新区知识产权质押融资环境</w:t>
            </w:r>
          </w:p>
        </w:tc>
        <w:tc>
          <w:tcPr>
            <w:tcW w:w="2551" w:type="dxa"/>
            <w:vAlign w:val="center"/>
          </w:tcPr>
          <w:p>
            <w:pPr>
              <w:pStyle w:val="13"/>
            </w:pPr>
            <w:r>
              <w:t>显著改善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申请融资风险补偿金的企业满意度</w:t>
            </w:r>
          </w:p>
        </w:tc>
        <w:tc>
          <w:tcPr>
            <w:tcW w:w="3430" w:type="dxa"/>
            <w:vAlign w:val="center"/>
          </w:tcPr>
          <w:p>
            <w:pPr>
              <w:pStyle w:val="13"/>
            </w:pPr>
            <w:r>
              <w:t>申请融资风险补偿金的企业满意度</w:t>
            </w:r>
          </w:p>
          <w:p>
            <w:pPr>
              <w:pStyle w:val="13"/>
            </w:pP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sz w:val="28"/>
        </w:rPr>
        <w:t>4.2025年知识产权快速协同保护专项——保护中心专项业务费绩效目标表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610201天津市滨海新区知识产权保护中心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2025年知识产权快速协同保护专项——保护中心专项业务费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1562500.00</w:t>
            </w:r>
          </w:p>
        </w:tc>
        <w:tc>
          <w:tcPr>
            <w:tcW w:w="1587" w:type="dxa"/>
            <w:vAlign w:val="center"/>
          </w:tcPr>
          <w:p>
            <w:pPr>
              <w:pStyle w:val="14"/>
            </w:pPr>
            <w:r>
              <w:t>其中：财政    资金</w:t>
            </w:r>
          </w:p>
        </w:tc>
        <w:tc>
          <w:tcPr>
            <w:tcW w:w="1843" w:type="dxa"/>
            <w:vAlign w:val="center"/>
          </w:tcPr>
          <w:p>
            <w:pPr>
              <w:pStyle w:val="13"/>
            </w:pPr>
            <w:r>
              <w:t>1562500.00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支付物业费、电费、取暖费、房租。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物业管理，改善工作环境，保障正常业务开展；通过支付2025年电费，保障办公区域照明、电脑、办公用电设备，机房，中央空调以及各功能用房的正常运行；通过按期支付采暖费使室内温度达标，保障正常办公，确保保护中心正常运行；通过租赁办公用房，保障办公场所固定稳定，提高新区知识产权工作效率、服务质量。</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物业管理服务面积</w:t>
            </w:r>
          </w:p>
        </w:tc>
        <w:tc>
          <w:tcPr>
            <w:tcW w:w="3430" w:type="dxa"/>
            <w:vAlign w:val="center"/>
          </w:tcPr>
          <w:p>
            <w:pPr>
              <w:pStyle w:val="13"/>
            </w:pPr>
            <w:r>
              <w:t>物业管理服务面积</w:t>
            </w:r>
          </w:p>
        </w:tc>
        <w:tc>
          <w:tcPr>
            <w:tcW w:w="2551" w:type="dxa"/>
            <w:vAlign w:val="center"/>
          </w:tcPr>
          <w:p>
            <w:pPr>
              <w:pStyle w:val="13"/>
            </w:pPr>
            <w:r>
              <w:t>≥3055.65平方米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耗电量</w:t>
            </w:r>
          </w:p>
        </w:tc>
        <w:tc>
          <w:tcPr>
            <w:tcW w:w="3430" w:type="dxa"/>
            <w:vAlign w:val="center"/>
          </w:tcPr>
          <w:p>
            <w:pPr>
              <w:pStyle w:val="13"/>
            </w:pPr>
            <w:r>
              <w:t>耗电量</w:t>
            </w:r>
          </w:p>
        </w:tc>
        <w:tc>
          <w:tcPr>
            <w:tcW w:w="2551" w:type="dxa"/>
            <w:vAlign w:val="center"/>
          </w:tcPr>
          <w:p>
            <w:pPr>
              <w:pStyle w:val="13"/>
            </w:pPr>
            <w:r>
              <w:t>≥130000度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供热计费面积</w:t>
            </w:r>
          </w:p>
        </w:tc>
        <w:tc>
          <w:tcPr>
            <w:tcW w:w="3430" w:type="dxa"/>
            <w:vAlign w:val="center"/>
          </w:tcPr>
          <w:p>
            <w:pPr>
              <w:pStyle w:val="13"/>
            </w:pPr>
            <w:r>
              <w:t>供热计费面积</w:t>
            </w:r>
          </w:p>
        </w:tc>
        <w:tc>
          <w:tcPr>
            <w:tcW w:w="2551" w:type="dxa"/>
            <w:vAlign w:val="center"/>
          </w:tcPr>
          <w:p>
            <w:pPr>
              <w:pStyle w:val="13"/>
            </w:pPr>
            <w:r>
              <w:t>≥3632.16平方米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房屋租用面积</w:t>
            </w:r>
          </w:p>
        </w:tc>
        <w:tc>
          <w:tcPr>
            <w:tcW w:w="3430" w:type="dxa"/>
            <w:vAlign w:val="center"/>
          </w:tcPr>
          <w:p>
            <w:pPr>
              <w:pStyle w:val="13"/>
            </w:pPr>
            <w:r>
              <w:t>房屋租用面积</w:t>
            </w:r>
          </w:p>
        </w:tc>
        <w:tc>
          <w:tcPr>
            <w:tcW w:w="2551" w:type="dxa"/>
            <w:vAlign w:val="center"/>
          </w:tcPr>
          <w:p>
            <w:pPr>
              <w:pStyle w:val="13"/>
            </w:pPr>
            <w:r>
              <w:t>≥3055.65平方米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保洁达标率</w:t>
            </w:r>
          </w:p>
        </w:tc>
        <w:tc>
          <w:tcPr>
            <w:tcW w:w="3430" w:type="dxa"/>
            <w:vAlign w:val="center"/>
          </w:tcPr>
          <w:p>
            <w:pPr>
              <w:pStyle w:val="13"/>
            </w:pPr>
            <w:r>
              <w:t>保洁达标率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用电设备正常运转率</w:t>
            </w:r>
          </w:p>
        </w:tc>
        <w:tc>
          <w:tcPr>
            <w:tcW w:w="3430" w:type="dxa"/>
            <w:vAlign w:val="center"/>
          </w:tcPr>
          <w:p>
            <w:pPr>
              <w:pStyle w:val="13"/>
            </w:pPr>
            <w:r>
              <w:t>用电设备正常运转率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室内温度</w:t>
            </w:r>
          </w:p>
        </w:tc>
        <w:tc>
          <w:tcPr>
            <w:tcW w:w="3430" w:type="dxa"/>
            <w:vAlign w:val="center"/>
          </w:tcPr>
          <w:p>
            <w:pPr>
              <w:pStyle w:val="13"/>
            </w:pPr>
            <w:r>
              <w:t>室内温度</w:t>
            </w:r>
          </w:p>
        </w:tc>
        <w:tc>
          <w:tcPr>
            <w:tcW w:w="2551" w:type="dxa"/>
            <w:vAlign w:val="center"/>
          </w:tcPr>
          <w:p>
            <w:pPr>
              <w:pStyle w:val="13"/>
            </w:pPr>
            <w: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房屋使用率</w:t>
            </w:r>
          </w:p>
        </w:tc>
        <w:tc>
          <w:tcPr>
            <w:tcW w:w="3430" w:type="dxa"/>
            <w:vAlign w:val="center"/>
          </w:tcPr>
          <w:p>
            <w:pPr>
              <w:pStyle w:val="13"/>
            </w:pPr>
            <w:r>
              <w:t>房屋使用率</w:t>
            </w:r>
          </w:p>
        </w:tc>
        <w:tc>
          <w:tcPr>
            <w:tcW w:w="2551"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物业费支付完成时间</w:t>
            </w:r>
          </w:p>
        </w:tc>
        <w:tc>
          <w:tcPr>
            <w:tcW w:w="3430" w:type="dxa"/>
            <w:vAlign w:val="center"/>
          </w:tcPr>
          <w:p>
            <w:pPr>
              <w:pStyle w:val="13"/>
            </w:pPr>
            <w:r>
              <w:t>物业费支付完成时间</w:t>
            </w:r>
          </w:p>
        </w:tc>
        <w:tc>
          <w:tcPr>
            <w:tcW w:w="2551" w:type="dxa"/>
            <w:vAlign w:val="center"/>
          </w:tcPr>
          <w:p>
            <w:pPr>
              <w:pStyle w:val="13"/>
            </w:pPr>
            <w:r>
              <w:t>2025年12月底前完成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电费支付完成时间</w:t>
            </w:r>
          </w:p>
        </w:tc>
        <w:tc>
          <w:tcPr>
            <w:tcW w:w="3430" w:type="dxa"/>
            <w:vAlign w:val="center"/>
          </w:tcPr>
          <w:p>
            <w:pPr>
              <w:pStyle w:val="13"/>
            </w:pPr>
            <w:r>
              <w:t>电费支付完成时间</w:t>
            </w:r>
          </w:p>
        </w:tc>
        <w:tc>
          <w:tcPr>
            <w:tcW w:w="2551" w:type="dxa"/>
            <w:vAlign w:val="center"/>
          </w:tcPr>
          <w:p>
            <w:pPr>
              <w:pStyle w:val="13"/>
            </w:pPr>
            <w:r>
              <w:t>2025年12月底前完成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采暖费支付完成时间</w:t>
            </w:r>
          </w:p>
        </w:tc>
        <w:tc>
          <w:tcPr>
            <w:tcW w:w="3430" w:type="dxa"/>
            <w:vAlign w:val="center"/>
          </w:tcPr>
          <w:p>
            <w:pPr>
              <w:pStyle w:val="13"/>
            </w:pPr>
            <w:r>
              <w:t>采暖费支付完成时间</w:t>
            </w:r>
          </w:p>
        </w:tc>
        <w:tc>
          <w:tcPr>
            <w:tcW w:w="2551" w:type="dxa"/>
            <w:vAlign w:val="center"/>
          </w:tcPr>
          <w:p>
            <w:pPr>
              <w:pStyle w:val="13"/>
            </w:pPr>
            <w:r>
              <w:t>2025年12月底前完成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房屋租赁费支付完成时间</w:t>
            </w:r>
          </w:p>
        </w:tc>
        <w:tc>
          <w:tcPr>
            <w:tcW w:w="3430" w:type="dxa"/>
            <w:vAlign w:val="center"/>
          </w:tcPr>
          <w:p>
            <w:pPr>
              <w:pStyle w:val="13"/>
            </w:pPr>
            <w:r>
              <w:t>房屋租赁费支付完成时间</w:t>
            </w:r>
          </w:p>
        </w:tc>
        <w:tc>
          <w:tcPr>
            <w:tcW w:w="2551" w:type="dxa"/>
            <w:vAlign w:val="center"/>
          </w:tcPr>
          <w:p>
            <w:pPr>
              <w:pStyle w:val="13"/>
            </w:pPr>
            <w:r>
              <w:t>2025年12月底前完成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每季度物业费</w:t>
            </w:r>
          </w:p>
        </w:tc>
        <w:tc>
          <w:tcPr>
            <w:tcW w:w="3430" w:type="dxa"/>
            <w:vAlign w:val="center"/>
          </w:tcPr>
          <w:p>
            <w:pPr>
              <w:pStyle w:val="13"/>
            </w:pPr>
            <w:r>
              <w:t>每季度物业费</w:t>
            </w:r>
          </w:p>
        </w:tc>
        <w:tc>
          <w:tcPr>
            <w:tcW w:w="2551" w:type="dxa"/>
            <w:vAlign w:val="center"/>
          </w:tcPr>
          <w:p>
            <w:pPr>
              <w:pStyle w:val="13"/>
            </w:pPr>
            <w:r>
              <w:t>≤96800元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每度电费用</w:t>
            </w:r>
          </w:p>
        </w:tc>
        <w:tc>
          <w:tcPr>
            <w:tcW w:w="3430" w:type="dxa"/>
            <w:vAlign w:val="center"/>
          </w:tcPr>
          <w:p>
            <w:pPr>
              <w:pStyle w:val="13"/>
            </w:pPr>
            <w:r>
              <w:t>每度电费用</w:t>
            </w:r>
          </w:p>
        </w:tc>
        <w:tc>
          <w:tcPr>
            <w:tcW w:w="2551" w:type="dxa"/>
            <w:vAlign w:val="center"/>
          </w:tcPr>
          <w:p>
            <w:pPr>
              <w:pStyle w:val="13"/>
            </w:pPr>
            <w:r>
              <w:t>≤1元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每平方米采暖费</w:t>
            </w:r>
          </w:p>
        </w:tc>
        <w:tc>
          <w:tcPr>
            <w:tcW w:w="3430" w:type="dxa"/>
            <w:vAlign w:val="center"/>
          </w:tcPr>
          <w:p>
            <w:pPr>
              <w:pStyle w:val="13"/>
            </w:pPr>
            <w:r>
              <w:t>每平方米采暖费</w:t>
            </w:r>
          </w:p>
        </w:tc>
        <w:tc>
          <w:tcPr>
            <w:tcW w:w="2551" w:type="dxa"/>
            <w:vAlign w:val="center"/>
          </w:tcPr>
          <w:p>
            <w:pPr>
              <w:pStyle w:val="13"/>
            </w:pPr>
            <w:r>
              <w:t>≤40元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每月房屋租赁费</w:t>
            </w:r>
          </w:p>
        </w:tc>
        <w:tc>
          <w:tcPr>
            <w:tcW w:w="3430" w:type="dxa"/>
            <w:vAlign w:val="center"/>
          </w:tcPr>
          <w:p>
            <w:pPr>
              <w:pStyle w:val="13"/>
            </w:pPr>
            <w:r>
              <w:t>每月房屋租赁费</w:t>
            </w:r>
          </w:p>
        </w:tc>
        <w:tc>
          <w:tcPr>
            <w:tcW w:w="2551" w:type="dxa"/>
            <w:vAlign w:val="center"/>
          </w:tcPr>
          <w:p>
            <w:pPr>
              <w:pStyle w:val="13"/>
            </w:pPr>
            <w:r>
              <w:t>≤75000元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提高知识产权服务质量</w:t>
            </w:r>
          </w:p>
        </w:tc>
        <w:tc>
          <w:tcPr>
            <w:tcW w:w="3430" w:type="dxa"/>
            <w:vAlign w:val="center"/>
          </w:tcPr>
          <w:p>
            <w:pPr>
              <w:pStyle w:val="13"/>
            </w:pPr>
            <w:r>
              <w:t>提高知识产权服务质量</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知识产权服务企业满意度</w:t>
            </w:r>
          </w:p>
        </w:tc>
        <w:tc>
          <w:tcPr>
            <w:tcW w:w="3430" w:type="dxa"/>
            <w:vAlign w:val="center"/>
          </w:tcPr>
          <w:p>
            <w:pPr>
              <w:pStyle w:val="13"/>
            </w:pPr>
            <w:r>
              <w:t>知识产权服务企业满意度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sz w:val="28"/>
        </w:rPr>
        <w:t>5.2025年知识产权快速协同保护专项——知识产权服务平台运行经费绩效目标表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610201天津市滨海新区知识产权保护中心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2025年知识产权快速协同保护专项——知识产权服务平台运行经费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430600.00</w:t>
            </w:r>
          </w:p>
        </w:tc>
        <w:tc>
          <w:tcPr>
            <w:tcW w:w="1587" w:type="dxa"/>
            <w:vAlign w:val="center"/>
          </w:tcPr>
          <w:p>
            <w:pPr>
              <w:pStyle w:val="14"/>
            </w:pPr>
            <w:r>
              <w:t>其中：财政    资金</w:t>
            </w:r>
          </w:p>
        </w:tc>
        <w:tc>
          <w:tcPr>
            <w:tcW w:w="1843" w:type="dxa"/>
            <w:vAlign w:val="center"/>
          </w:tcPr>
          <w:p>
            <w:pPr>
              <w:pStyle w:val="13"/>
            </w:pPr>
            <w:r>
              <w:t>430600.00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支付网费、科普教育基地更新费、预审服务平台数据维护费、知识产权运营服务平台设备租赁费等。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连接国家局专网，开通国家局专利智能检索及分析系统网路，保障专利预审检索工作开展；通过更新滨海新区知识产权科普教育基地展示内容，提高滨海新区社会大众知识产权保护意识；通过维护预审服务平台数据，保障预审平台正常运行；通过租赁运营公共服务平台安全防护设备，提升系统平台安全性，提高知识产权服务质量。</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网络、宽带开通线路数量</w:t>
            </w:r>
          </w:p>
        </w:tc>
        <w:tc>
          <w:tcPr>
            <w:tcW w:w="3430" w:type="dxa"/>
            <w:vAlign w:val="center"/>
          </w:tcPr>
          <w:p>
            <w:pPr>
              <w:pStyle w:val="13"/>
            </w:pPr>
            <w:r>
              <w:t>网络、宽带开通线路数量</w:t>
            </w:r>
          </w:p>
        </w:tc>
        <w:tc>
          <w:tcPr>
            <w:tcW w:w="2551" w:type="dxa"/>
            <w:vAlign w:val="center"/>
          </w:tcPr>
          <w:p>
            <w:pPr>
              <w:pStyle w:val="13"/>
            </w:pPr>
            <w:r>
              <w:t>≥3条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科普教育基地展示内容更新数量</w:t>
            </w:r>
          </w:p>
        </w:tc>
        <w:tc>
          <w:tcPr>
            <w:tcW w:w="3430" w:type="dxa"/>
            <w:vAlign w:val="center"/>
          </w:tcPr>
          <w:p>
            <w:pPr>
              <w:pStyle w:val="13"/>
            </w:pPr>
            <w:r>
              <w:t>科普教育基地展示内容更新数量</w:t>
            </w:r>
          </w:p>
        </w:tc>
        <w:tc>
          <w:tcPr>
            <w:tcW w:w="2551" w:type="dxa"/>
            <w:vAlign w:val="center"/>
          </w:tcPr>
          <w:p>
            <w:pPr>
              <w:pStyle w:val="13"/>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预审服务平台数量</w:t>
            </w:r>
          </w:p>
        </w:tc>
        <w:tc>
          <w:tcPr>
            <w:tcW w:w="3430" w:type="dxa"/>
            <w:vAlign w:val="center"/>
          </w:tcPr>
          <w:p>
            <w:pPr>
              <w:pStyle w:val="13"/>
            </w:pPr>
            <w:r>
              <w:t>预审服务平台数量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知识产权运营服务平台安全防护设备租赁数量</w:t>
            </w:r>
          </w:p>
        </w:tc>
        <w:tc>
          <w:tcPr>
            <w:tcW w:w="3430" w:type="dxa"/>
            <w:vAlign w:val="center"/>
          </w:tcPr>
          <w:p>
            <w:pPr>
              <w:pStyle w:val="13"/>
            </w:pPr>
            <w:r>
              <w:t>知识产权运营服务平台安全防护设备租赁数量</w:t>
            </w:r>
          </w:p>
        </w:tc>
        <w:tc>
          <w:tcPr>
            <w:tcW w:w="2551" w:type="dxa"/>
            <w:vAlign w:val="center"/>
          </w:tcPr>
          <w:p>
            <w:pPr>
              <w:pStyle w:val="13"/>
            </w:pPr>
            <w:r>
              <w:t>≥5台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网络响应速度</w:t>
            </w:r>
          </w:p>
        </w:tc>
        <w:tc>
          <w:tcPr>
            <w:tcW w:w="3430" w:type="dxa"/>
            <w:vAlign w:val="center"/>
          </w:tcPr>
          <w:p>
            <w:pPr>
              <w:pStyle w:val="13"/>
            </w:pPr>
            <w:r>
              <w:t>网络响应速度</w:t>
            </w:r>
          </w:p>
        </w:tc>
        <w:tc>
          <w:tcPr>
            <w:tcW w:w="2551" w:type="dxa"/>
            <w:vAlign w:val="center"/>
          </w:tcPr>
          <w:p>
            <w:pPr>
              <w:pStyle w:val="13"/>
            </w:pPr>
            <w:r>
              <w:t>≥2M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科普教育基地更新内容合格率</w:t>
            </w:r>
          </w:p>
        </w:tc>
        <w:tc>
          <w:tcPr>
            <w:tcW w:w="3430" w:type="dxa"/>
            <w:vAlign w:val="center"/>
          </w:tcPr>
          <w:p>
            <w:pPr>
              <w:pStyle w:val="13"/>
            </w:pPr>
            <w:r>
              <w:t>科普教育基地更新内容合格率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预审服务平台运行稳定率</w:t>
            </w:r>
          </w:p>
        </w:tc>
        <w:tc>
          <w:tcPr>
            <w:tcW w:w="3430" w:type="dxa"/>
            <w:vAlign w:val="center"/>
          </w:tcPr>
          <w:p>
            <w:pPr>
              <w:pStyle w:val="13"/>
            </w:pPr>
            <w:r>
              <w:t>预审服务平台运行稳定率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知识产权运营服务平台有效防护率</w:t>
            </w:r>
          </w:p>
        </w:tc>
        <w:tc>
          <w:tcPr>
            <w:tcW w:w="3430" w:type="dxa"/>
            <w:vAlign w:val="center"/>
          </w:tcPr>
          <w:p>
            <w:pPr>
              <w:pStyle w:val="13"/>
            </w:pPr>
            <w:r>
              <w:t>知识产权运营服务平台有效防护率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网费支付完成时间</w:t>
            </w:r>
          </w:p>
        </w:tc>
        <w:tc>
          <w:tcPr>
            <w:tcW w:w="3430" w:type="dxa"/>
            <w:vAlign w:val="center"/>
          </w:tcPr>
          <w:p>
            <w:pPr>
              <w:pStyle w:val="13"/>
            </w:pPr>
            <w:r>
              <w:t>网费支付完成时间</w:t>
            </w:r>
          </w:p>
        </w:tc>
        <w:tc>
          <w:tcPr>
            <w:tcW w:w="2551" w:type="dxa"/>
            <w:vAlign w:val="center"/>
          </w:tcPr>
          <w:p>
            <w:pPr>
              <w:pStyle w:val="13"/>
            </w:pPr>
            <w:r>
              <w:t>2025年12月底前完成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科普教育基地展示内容更新完成时间</w:t>
            </w:r>
          </w:p>
        </w:tc>
        <w:tc>
          <w:tcPr>
            <w:tcW w:w="3430" w:type="dxa"/>
            <w:vAlign w:val="center"/>
          </w:tcPr>
          <w:p>
            <w:pPr>
              <w:pStyle w:val="13"/>
            </w:pPr>
            <w:r>
              <w:t>科普教育基地展示内容更新完成时间</w:t>
            </w:r>
          </w:p>
        </w:tc>
        <w:tc>
          <w:tcPr>
            <w:tcW w:w="2551" w:type="dxa"/>
            <w:vAlign w:val="center"/>
          </w:tcPr>
          <w:p>
            <w:pPr>
              <w:pStyle w:val="13"/>
            </w:pPr>
            <w:r>
              <w:t>2025年12月底前完成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预审服务平台数据维护费支付完成时间</w:t>
            </w:r>
          </w:p>
        </w:tc>
        <w:tc>
          <w:tcPr>
            <w:tcW w:w="3430" w:type="dxa"/>
            <w:vAlign w:val="center"/>
          </w:tcPr>
          <w:p>
            <w:pPr>
              <w:pStyle w:val="13"/>
            </w:pPr>
            <w:r>
              <w:t>预审服务平台数据维护费支付完成时间</w:t>
            </w:r>
          </w:p>
        </w:tc>
        <w:tc>
          <w:tcPr>
            <w:tcW w:w="2551" w:type="dxa"/>
            <w:vAlign w:val="center"/>
          </w:tcPr>
          <w:p>
            <w:pPr>
              <w:pStyle w:val="13"/>
            </w:pPr>
            <w:r>
              <w:t>2025年12月底前完成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运营服务平台安全防护设备租赁费支付完成时间</w:t>
            </w:r>
          </w:p>
        </w:tc>
        <w:tc>
          <w:tcPr>
            <w:tcW w:w="3430" w:type="dxa"/>
            <w:vAlign w:val="center"/>
          </w:tcPr>
          <w:p>
            <w:pPr>
              <w:pStyle w:val="13"/>
            </w:pPr>
            <w:r>
              <w:t>运营服务平台安全防护设备租赁费支付完成时间</w:t>
            </w:r>
          </w:p>
        </w:tc>
        <w:tc>
          <w:tcPr>
            <w:tcW w:w="2551" w:type="dxa"/>
            <w:vAlign w:val="center"/>
          </w:tcPr>
          <w:p>
            <w:pPr>
              <w:pStyle w:val="13"/>
            </w:pPr>
            <w:r>
              <w:t>2025年12月底前完成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网费每月平均成本</w:t>
            </w:r>
          </w:p>
        </w:tc>
        <w:tc>
          <w:tcPr>
            <w:tcW w:w="3430" w:type="dxa"/>
            <w:vAlign w:val="center"/>
          </w:tcPr>
          <w:p>
            <w:pPr>
              <w:pStyle w:val="13"/>
            </w:pPr>
            <w:r>
              <w:t>网费每月平均成本</w:t>
            </w:r>
          </w:p>
        </w:tc>
        <w:tc>
          <w:tcPr>
            <w:tcW w:w="2551" w:type="dxa"/>
            <w:vAlign w:val="center"/>
          </w:tcPr>
          <w:p>
            <w:pPr>
              <w:pStyle w:val="13"/>
            </w:pPr>
            <w:r>
              <w:t>≤14400元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科普教育基地项目更新平均成本</w:t>
            </w:r>
          </w:p>
        </w:tc>
        <w:tc>
          <w:tcPr>
            <w:tcW w:w="3430" w:type="dxa"/>
            <w:vAlign w:val="center"/>
          </w:tcPr>
          <w:p>
            <w:pPr>
              <w:pStyle w:val="13"/>
            </w:pPr>
            <w:r>
              <w:t>科普教育基地项目更新平均成本</w:t>
            </w:r>
          </w:p>
        </w:tc>
        <w:tc>
          <w:tcPr>
            <w:tcW w:w="2551" w:type="dxa"/>
            <w:vAlign w:val="center"/>
          </w:tcPr>
          <w:p>
            <w:pPr>
              <w:pStyle w:val="13"/>
            </w:pPr>
            <w:r>
              <w:t>≤3250元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预审服务平台数据每季度维护成本</w:t>
            </w:r>
          </w:p>
        </w:tc>
        <w:tc>
          <w:tcPr>
            <w:tcW w:w="3430" w:type="dxa"/>
            <w:vAlign w:val="center"/>
          </w:tcPr>
          <w:p>
            <w:pPr>
              <w:pStyle w:val="13"/>
            </w:pPr>
            <w:r>
              <w:t>预审服务平台数据每季度维护成本</w:t>
            </w:r>
          </w:p>
        </w:tc>
        <w:tc>
          <w:tcPr>
            <w:tcW w:w="2551" w:type="dxa"/>
            <w:vAlign w:val="center"/>
          </w:tcPr>
          <w:p>
            <w:pPr>
              <w:pStyle w:val="13"/>
            </w:pPr>
            <w:r>
              <w:t>≤51700元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知识产权运营服务平台安全防护设备每季度租赁成本</w:t>
            </w:r>
          </w:p>
        </w:tc>
        <w:tc>
          <w:tcPr>
            <w:tcW w:w="3430" w:type="dxa"/>
            <w:vAlign w:val="center"/>
          </w:tcPr>
          <w:p>
            <w:pPr>
              <w:pStyle w:val="13"/>
            </w:pPr>
            <w:r>
              <w:t>知识产权运营服务平台安全防护设备每季度租赁成本</w:t>
            </w:r>
          </w:p>
        </w:tc>
        <w:tc>
          <w:tcPr>
            <w:tcW w:w="2551" w:type="dxa"/>
            <w:vAlign w:val="center"/>
          </w:tcPr>
          <w:p>
            <w:pPr>
              <w:pStyle w:val="13"/>
            </w:pPr>
            <w:r>
              <w:t>≤6250元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提高知识产权服务质量</w:t>
            </w:r>
          </w:p>
        </w:tc>
        <w:tc>
          <w:tcPr>
            <w:tcW w:w="3430" w:type="dxa"/>
            <w:vAlign w:val="center"/>
          </w:tcPr>
          <w:p>
            <w:pPr>
              <w:pStyle w:val="13"/>
            </w:pPr>
            <w:r>
              <w:t>提高知识产权服务质量</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知识产权服务企业满意度</w:t>
            </w:r>
          </w:p>
        </w:tc>
        <w:tc>
          <w:tcPr>
            <w:tcW w:w="3430" w:type="dxa"/>
            <w:vAlign w:val="center"/>
          </w:tcPr>
          <w:p>
            <w:pPr>
              <w:pStyle w:val="13"/>
            </w:pPr>
            <w:r>
              <w:t>知识产权服务企业满意度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5" w:name="_Toc_4_4_0000000009"/>
      <w:r>
        <w:rPr>
          <w:rFonts w:ascii="方正仿宋_GBK" w:hAnsi="方正仿宋_GBK" w:eastAsia="方正仿宋_GBK" w:cs="方正仿宋_GBK"/>
          <w:sz w:val="28"/>
        </w:rPr>
        <w:t>6.2025年知识产权快速协同保护专项——专利分析数据库使用费绩效目标表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610201天津市滨海新区知识产权保护中心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2025年知识产权快速协同保护专项——专利分析数据库使用费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843" w:type="dxa"/>
            <w:vAlign w:val="center"/>
          </w:tcPr>
          <w:p>
            <w:pPr>
              <w:pStyle w:val="13"/>
            </w:pPr>
            <w:r>
              <w:t>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支付数据库账号使用费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1.通过定制完善的专利分析导航所需数据库资源，并对资源合理配置，保障本区域内高端装备制造、生物医药、新能源产业的专利分析导航工作开展，提高知识产权服务质量。</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新增商业数据库使用账号</w:t>
            </w:r>
          </w:p>
        </w:tc>
        <w:tc>
          <w:tcPr>
            <w:tcW w:w="3430" w:type="dxa"/>
            <w:vAlign w:val="center"/>
          </w:tcPr>
          <w:p>
            <w:pPr>
              <w:pStyle w:val="13"/>
            </w:pPr>
            <w:r>
              <w:t>新增商业数据库使用账号</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数据库运行稳定率</w:t>
            </w:r>
          </w:p>
        </w:tc>
        <w:tc>
          <w:tcPr>
            <w:tcW w:w="3430" w:type="dxa"/>
            <w:vAlign w:val="center"/>
          </w:tcPr>
          <w:p>
            <w:pPr>
              <w:pStyle w:val="13"/>
            </w:pPr>
            <w:r>
              <w:t>数据库运行稳定率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商业数据库使用时间</w:t>
            </w:r>
          </w:p>
        </w:tc>
        <w:tc>
          <w:tcPr>
            <w:tcW w:w="3430" w:type="dxa"/>
            <w:vAlign w:val="center"/>
          </w:tcPr>
          <w:p>
            <w:pPr>
              <w:pStyle w:val="13"/>
            </w:pPr>
            <w:r>
              <w:t>商业数据库使用时间</w:t>
            </w:r>
          </w:p>
        </w:tc>
        <w:tc>
          <w:tcPr>
            <w:tcW w:w="2551" w:type="dxa"/>
            <w:vAlign w:val="center"/>
          </w:tcPr>
          <w:p>
            <w:pPr>
              <w:pStyle w:val="13"/>
            </w:pPr>
            <w:r>
              <w:t>2025年全年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单个账号成本</w:t>
            </w:r>
          </w:p>
        </w:tc>
        <w:tc>
          <w:tcPr>
            <w:tcW w:w="3430" w:type="dxa"/>
            <w:vAlign w:val="center"/>
          </w:tcPr>
          <w:p>
            <w:pPr>
              <w:pStyle w:val="13"/>
            </w:pPr>
            <w:r>
              <w:t>单个账号成本</w:t>
            </w:r>
          </w:p>
        </w:tc>
        <w:tc>
          <w:tcPr>
            <w:tcW w:w="2551" w:type="dxa"/>
            <w:vAlign w:val="center"/>
          </w:tcPr>
          <w:p>
            <w:pPr>
              <w:pStyle w:val="13"/>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提高知识产权服务质量</w:t>
            </w:r>
          </w:p>
        </w:tc>
        <w:tc>
          <w:tcPr>
            <w:tcW w:w="3430" w:type="dxa"/>
            <w:vAlign w:val="center"/>
          </w:tcPr>
          <w:p>
            <w:pPr>
              <w:pStyle w:val="13"/>
            </w:pPr>
            <w:r>
              <w:t>提高知识产权服务质量</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专利导航服务企业满意度</w:t>
            </w:r>
          </w:p>
        </w:tc>
        <w:tc>
          <w:tcPr>
            <w:tcW w:w="3430" w:type="dxa"/>
            <w:vAlign w:val="center"/>
          </w:tcPr>
          <w:p>
            <w:pPr>
              <w:pStyle w:val="13"/>
            </w:pPr>
            <w:r>
              <w:t>专利导航服务企业满意度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6" w:name="_Toc_4_4_0000000010"/>
      <w:r>
        <w:rPr>
          <w:rFonts w:ascii="方正仿宋_GBK" w:hAnsi="方正仿宋_GBK" w:eastAsia="方正仿宋_GBK" w:cs="方正仿宋_GBK"/>
          <w:sz w:val="28"/>
        </w:rPr>
        <w:t>7.2025年编制外长聘-（其他人员）（教育文化室）绩效目标表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610201天津市滨海新区知识产权保护中心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2025年编制外长聘-（其他人员）（教育文化室）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1283000.00</w:t>
            </w:r>
          </w:p>
        </w:tc>
        <w:tc>
          <w:tcPr>
            <w:tcW w:w="1587" w:type="dxa"/>
            <w:vAlign w:val="center"/>
          </w:tcPr>
          <w:p>
            <w:pPr>
              <w:pStyle w:val="14"/>
            </w:pPr>
            <w:r>
              <w:t>其中：财政    资金</w:t>
            </w:r>
          </w:p>
        </w:tc>
        <w:tc>
          <w:tcPr>
            <w:tcW w:w="1843" w:type="dxa"/>
            <w:vAlign w:val="center"/>
          </w:tcPr>
          <w:p>
            <w:pPr>
              <w:pStyle w:val="13"/>
            </w:pPr>
            <w:r>
              <w:t>1283000.00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支付编外长聘人员2025年工资、社保、公积金等。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≤25.66万元/年/人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7" w:name="_Toc_4_4_0000000011"/>
      <w:r>
        <w:rPr>
          <w:rFonts w:ascii="方正仿宋_GBK" w:hAnsi="方正仿宋_GBK" w:eastAsia="方正仿宋_GBK" w:cs="方正仿宋_GBK"/>
          <w:sz w:val="28"/>
        </w:rPr>
        <w:t>8.2025年知识产权保护项目——海外知识产权保护能力提升（自有资金）（其他收入资金）绩效目标表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610201天津市滨海新区知识产权保护中心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2025年知识产权保护项目——海外知识产权保护能力提升（自有资金）（其他收入资金）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148000.00</w:t>
            </w:r>
          </w:p>
        </w:tc>
        <w:tc>
          <w:tcPr>
            <w:tcW w:w="1587" w:type="dxa"/>
            <w:vAlign w:val="center"/>
          </w:tcPr>
          <w:p>
            <w:pPr>
              <w:pStyle w:val="14"/>
            </w:pPr>
            <w:r>
              <w:t>其中：财政    资金</w:t>
            </w:r>
          </w:p>
        </w:tc>
        <w:tc>
          <w:tcPr>
            <w:tcW w:w="1843" w:type="dxa"/>
            <w:vAlign w:val="center"/>
          </w:tcPr>
          <w:p>
            <w:pPr>
              <w:pStyle w:val="13"/>
            </w:pPr>
            <w:r>
              <w:t xml:space="preserve"> </w:t>
            </w:r>
          </w:p>
        </w:tc>
        <w:tc>
          <w:tcPr>
            <w:tcW w:w="1276" w:type="dxa"/>
            <w:vAlign w:val="center"/>
          </w:tcPr>
          <w:p>
            <w:pPr>
              <w:pStyle w:val="14"/>
            </w:pPr>
            <w:r>
              <w:t>其他资金</w:t>
            </w:r>
          </w:p>
        </w:tc>
        <w:tc>
          <w:tcPr>
            <w:tcW w:w="1276" w:type="dxa"/>
            <w:vAlign w:val="center"/>
          </w:tcPr>
          <w:p>
            <w:pPr>
              <w:pStyle w:val="13"/>
            </w:pPr>
            <w:r>
              <w:t>148000.00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推进海外纠纷应对指导中心地方分中心建设；建设推进市滨海新区海外知识产权纠纷预警监测机制；开展海内外知识产权政策研究，形成分析报告、典型案例，提升企业海外维权意识。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1.推进海外纠纷应对指导中心地方分中心建设；建设推进市滨海新区海外知识产权纠纷预警监测机制；开展海内外知识产权政策研究，形成分析报告、典型案例，提升企业海外维权意识。</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组织海外知识产权风险防控培训场次</w:t>
            </w:r>
          </w:p>
        </w:tc>
        <w:tc>
          <w:tcPr>
            <w:tcW w:w="3430" w:type="dxa"/>
            <w:vAlign w:val="center"/>
          </w:tcPr>
          <w:p>
            <w:pPr>
              <w:pStyle w:val="13"/>
            </w:pPr>
            <w:r>
              <w:t>组织海外知识产权风险防控培训场次</w:t>
            </w:r>
          </w:p>
        </w:tc>
        <w:tc>
          <w:tcPr>
            <w:tcW w:w="2551" w:type="dxa"/>
            <w:vAlign w:val="center"/>
          </w:tcPr>
          <w:p>
            <w:pPr>
              <w:pStyle w:val="13"/>
            </w:pPr>
            <w:r>
              <w:t>≥6场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海外知识产权诉讼数据库账号数量</w:t>
            </w:r>
          </w:p>
        </w:tc>
        <w:tc>
          <w:tcPr>
            <w:tcW w:w="3430" w:type="dxa"/>
            <w:vAlign w:val="center"/>
          </w:tcPr>
          <w:p>
            <w:pPr>
              <w:pStyle w:val="13"/>
            </w:pPr>
            <w:r>
              <w:t>海外知识产权诉讼数据库账号数量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形成分析报告、国别指南、典型案例集等数量</w:t>
            </w:r>
          </w:p>
        </w:tc>
        <w:tc>
          <w:tcPr>
            <w:tcW w:w="3430" w:type="dxa"/>
            <w:vAlign w:val="center"/>
          </w:tcPr>
          <w:p>
            <w:pPr>
              <w:pStyle w:val="13"/>
            </w:pPr>
            <w:r>
              <w:t>形成分析报告、国别指南、典型案例集等数量</w:t>
            </w:r>
          </w:p>
        </w:tc>
        <w:tc>
          <w:tcPr>
            <w:tcW w:w="2551" w:type="dxa"/>
            <w:vAlign w:val="center"/>
          </w:tcPr>
          <w:p>
            <w:pPr>
              <w:pStyle w:val="13"/>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培训合格率</w:t>
            </w:r>
          </w:p>
        </w:tc>
        <w:tc>
          <w:tcPr>
            <w:tcW w:w="3430" w:type="dxa"/>
            <w:vAlign w:val="center"/>
          </w:tcPr>
          <w:p>
            <w:pPr>
              <w:pStyle w:val="13"/>
            </w:pPr>
            <w:r>
              <w:t>培训合格率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海外知识产权诉讼数据库指标的覆盖范围</w:t>
            </w:r>
          </w:p>
        </w:tc>
        <w:tc>
          <w:tcPr>
            <w:tcW w:w="3430" w:type="dxa"/>
            <w:vAlign w:val="center"/>
          </w:tcPr>
          <w:p>
            <w:pPr>
              <w:pStyle w:val="13"/>
            </w:pPr>
            <w:r>
              <w:t>海外知识产权诉讼数据库指标的覆盖范围</w:t>
            </w:r>
          </w:p>
        </w:tc>
        <w:tc>
          <w:tcPr>
            <w:tcW w:w="2551" w:type="dxa"/>
            <w:vAlign w:val="center"/>
          </w:tcPr>
          <w:p>
            <w:pPr>
              <w:pStyle w:val="13"/>
            </w:pPr>
            <w:r>
              <w:t>涉案主体、案件类型、所属行业、受理法院、当事人等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天津涉案企业覆盖率</w:t>
            </w:r>
          </w:p>
        </w:tc>
        <w:tc>
          <w:tcPr>
            <w:tcW w:w="3430" w:type="dxa"/>
            <w:vAlign w:val="center"/>
          </w:tcPr>
          <w:p>
            <w:pPr>
              <w:pStyle w:val="13"/>
            </w:pPr>
            <w:r>
              <w:t>天津涉案企业覆盖率</w:t>
            </w:r>
          </w:p>
        </w:tc>
        <w:tc>
          <w:tcPr>
            <w:tcW w:w="2551" w:type="dxa"/>
            <w:vAlign w:val="center"/>
          </w:tcPr>
          <w:p>
            <w:pPr>
              <w:pStyle w:val="13"/>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3430" w:type="dxa"/>
            <w:vAlign w:val="center"/>
          </w:tcPr>
          <w:p>
            <w:pPr>
              <w:pStyle w:val="13"/>
            </w:pPr>
            <w:r>
              <w:t>项目完成时间</w:t>
            </w:r>
          </w:p>
        </w:tc>
        <w:tc>
          <w:tcPr>
            <w:tcW w:w="2551" w:type="dxa"/>
            <w:vAlign w:val="center"/>
          </w:tcPr>
          <w:p>
            <w:pPr>
              <w:pStyle w:val="13"/>
            </w:pPr>
            <w:r>
              <w:t>2025年6月前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每场培训平均成本</w:t>
            </w:r>
          </w:p>
        </w:tc>
        <w:tc>
          <w:tcPr>
            <w:tcW w:w="3430" w:type="dxa"/>
            <w:vAlign w:val="center"/>
          </w:tcPr>
          <w:p>
            <w:pPr>
              <w:pStyle w:val="13"/>
            </w:pPr>
            <w:r>
              <w:t>每场培训平均成本</w:t>
            </w:r>
          </w:p>
        </w:tc>
        <w:tc>
          <w:tcPr>
            <w:tcW w:w="2551" w:type="dxa"/>
            <w:vAlign w:val="center"/>
          </w:tcPr>
          <w:p>
            <w:pPr>
              <w:pStyle w:val="13"/>
            </w:pPr>
            <w:r>
              <w:t>≤0.5万元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账号使用成本</w:t>
            </w:r>
          </w:p>
        </w:tc>
        <w:tc>
          <w:tcPr>
            <w:tcW w:w="3430" w:type="dxa"/>
            <w:vAlign w:val="center"/>
          </w:tcPr>
          <w:p>
            <w:pPr>
              <w:pStyle w:val="13"/>
            </w:pPr>
            <w:r>
              <w:t>账号使用成本</w:t>
            </w:r>
          </w:p>
        </w:tc>
        <w:tc>
          <w:tcPr>
            <w:tcW w:w="2551" w:type="dxa"/>
            <w:vAlign w:val="center"/>
          </w:tcPr>
          <w:p>
            <w:pPr>
              <w:pStyle w:val="13"/>
            </w:pPr>
            <w:r>
              <w:t>≤1.25万元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形成分析报告、国别指南、典型案例集等平均成本</w:t>
            </w:r>
          </w:p>
        </w:tc>
        <w:tc>
          <w:tcPr>
            <w:tcW w:w="3430" w:type="dxa"/>
            <w:vAlign w:val="center"/>
          </w:tcPr>
          <w:p>
            <w:pPr>
              <w:pStyle w:val="13"/>
            </w:pPr>
            <w:r>
              <w:t>形成分析报告、国别指南、典型案例集等平均成本</w:t>
            </w:r>
          </w:p>
        </w:tc>
        <w:tc>
          <w:tcPr>
            <w:tcW w:w="2551" w:type="dxa"/>
            <w:vAlign w:val="center"/>
          </w:tcPr>
          <w:p>
            <w:pPr>
              <w:pStyle w:val="13"/>
            </w:pPr>
            <w:r>
              <w:t>≤2.12万元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提升企业海外维权意识</w:t>
            </w:r>
          </w:p>
        </w:tc>
        <w:tc>
          <w:tcPr>
            <w:tcW w:w="3430" w:type="dxa"/>
            <w:vAlign w:val="center"/>
          </w:tcPr>
          <w:p>
            <w:pPr>
              <w:pStyle w:val="13"/>
            </w:pPr>
            <w:r>
              <w:t>提升企业海外维权意识</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服务企业满意度</w:t>
            </w:r>
          </w:p>
        </w:tc>
        <w:tc>
          <w:tcPr>
            <w:tcW w:w="3430" w:type="dxa"/>
            <w:vAlign w:val="center"/>
          </w:tcPr>
          <w:p>
            <w:pPr>
              <w:pStyle w:val="13"/>
            </w:pPr>
            <w:r>
              <w:t>服务企业满意度</w:t>
            </w:r>
          </w:p>
        </w:tc>
        <w:tc>
          <w:tcPr>
            <w:tcW w:w="2551" w:type="dxa"/>
            <w:vAlign w:val="center"/>
          </w:tcPr>
          <w:p>
            <w:pPr>
              <w:pStyle w:val="13"/>
            </w:pPr>
            <w:r>
              <w:t>≥85%</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rsids>
    <w:rsidRoot w:val="00000000"/>
    <w:rsid w:val="1DFA04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2025-01-21T10:59:56Z</dcterms:created>
  <dcterms:modified xsi:type="dcterms:W3CDTF">2025-01-21T02:59:56Z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2025-01-21T10:59:57Z</dcterms:created>
  <dcterms:modified xsi:type="dcterms:W3CDTF">2025-01-21T02:59:57Z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2025-01-21T10:59:57Z</dcterms:created>
  <dcterms:modified xsi:type="dcterms:W3CDTF">2025-01-21T02:59:57Z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2025-01-21T10:59:57Z</dcterms:created>
  <dcterms:modified xsi:type="dcterms:W3CDTF">2025-01-21T02:59:57Z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2025-01-21T10:59:57Z</dcterms:created>
  <dcterms:modified xsi:type="dcterms:W3CDTF">2025-01-21T02:59:57Z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2025-01-21T10:59:56Z</dcterms:created>
  <dcterms:modified xsi:type="dcterms:W3CDTF">2025-01-21T02:59:56Z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2025-01-21T10:59:55Z</dcterms:created>
  <dcterms:modified xsi:type="dcterms:W3CDTF">2025-01-21T02:59:55Z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2025-01-21T10:59:56Z</dcterms:created>
  <dcterms:modified xsi:type="dcterms:W3CDTF">2025-01-21T02:59:56Z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2025-01-21T10:59:56Z</dcterms:created>
  <dcterms:modified xsi:type="dcterms:W3CDTF">2025-01-21T02:59:56Z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2025-01-21T10:59:55Z</dcterms:created>
  <dcterms:modified xsi:type="dcterms:W3CDTF">2025-01-21T02:59:55Z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2093bcb-3bed-424e-8ac3-b7187cf18bbc}">
  <ds:schemaRefs/>
</ds:datastoreItem>
</file>

<file path=customXml/itemProps10.xml><?xml version="1.0" encoding="utf-8"?>
<ds:datastoreItem xmlns:ds="http://schemas.openxmlformats.org/officeDocument/2006/customXml" ds:itemID="{73b559a2-9622-4d72-8277-a3f818b35a87}">
  <ds:schemaRefs/>
</ds:datastoreItem>
</file>

<file path=customXml/itemProps11.xml><?xml version="1.0" encoding="utf-8"?>
<ds:datastoreItem xmlns:ds="http://schemas.openxmlformats.org/officeDocument/2006/customXml" ds:itemID="{8de94124-19ae-4d8a-b907-5f04f8ec63cf}">
  <ds:schemaRefs/>
</ds:datastoreItem>
</file>

<file path=customXml/itemProps12.xml><?xml version="1.0" encoding="utf-8"?>
<ds:datastoreItem xmlns:ds="http://schemas.openxmlformats.org/officeDocument/2006/customXml" ds:itemID="{2ae56d79-6ca0-4e77-a261-2ed9752f7a3d}">
  <ds:schemaRefs/>
</ds:datastoreItem>
</file>

<file path=customXml/itemProps13.xml><?xml version="1.0" encoding="utf-8"?>
<ds:datastoreItem xmlns:ds="http://schemas.openxmlformats.org/officeDocument/2006/customXml" ds:itemID="{1c8e0bbe-1722-479f-8e6a-45a94f550b99}">
  <ds:schemaRefs/>
</ds:datastoreItem>
</file>

<file path=customXml/itemProps14.xml><?xml version="1.0" encoding="utf-8"?>
<ds:datastoreItem xmlns:ds="http://schemas.openxmlformats.org/officeDocument/2006/customXml" ds:itemID="{514b28e1-f001-4b21-92e7-077be2eba62c}">
  <ds:schemaRefs/>
</ds:datastoreItem>
</file>

<file path=customXml/itemProps15.xml><?xml version="1.0" encoding="utf-8"?>
<ds:datastoreItem xmlns:ds="http://schemas.openxmlformats.org/officeDocument/2006/customXml" ds:itemID="{cbfdb227-0d30-4e3f-872b-d0e19b688dea}">
  <ds:schemaRefs/>
</ds:datastoreItem>
</file>

<file path=customXml/itemProps16.xml><?xml version="1.0" encoding="utf-8"?>
<ds:datastoreItem xmlns:ds="http://schemas.openxmlformats.org/officeDocument/2006/customXml" ds:itemID="{75ddecc6-e8ba-4011-9d59-8a324351269d}">
  <ds:schemaRefs/>
</ds:datastoreItem>
</file>

<file path=customXml/itemProps17.xml><?xml version="1.0" encoding="utf-8"?>
<ds:datastoreItem xmlns:ds="http://schemas.openxmlformats.org/officeDocument/2006/customXml" ds:itemID="{bb3e3c7b-0dd2-497b-88d9-cac4d5d0cd08}">
  <ds:schemaRefs/>
</ds:datastoreItem>
</file>

<file path=customXml/itemProps18.xml><?xml version="1.0" encoding="utf-8"?>
<ds:datastoreItem xmlns:ds="http://schemas.openxmlformats.org/officeDocument/2006/customXml" ds:itemID="{740ef8c7-1720-4d14-8791-da141d8c0e9f}">
  <ds:schemaRefs/>
</ds:datastoreItem>
</file>

<file path=customXml/itemProps19.xml><?xml version="1.0" encoding="utf-8"?>
<ds:datastoreItem xmlns:ds="http://schemas.openxmlformats.org/officeDocument/2006/customXml" ds:itemID="{4b7484b3-609f-4186-90ac-9605032f8d3a}">
  <ds:schemaRefs/>
</ds:datastoreItem>
</file>

<file path=customXml/itemProps2.xml><?xml version="1.0" encoding="utf-8"?>
<ds:datastoreItem xmlns:ds="http://schemas.openxmlformats.org/officeDocument/2006/customXml" ds:itemID="{b6a561a0-8165-4f72-b3af-54b6953cf8a3}">
  <ds:schemaRefs/>
</ds:datastoreItem>
</file>

<file path=customXml/itemProps20.xml><?xml version="1.0" encoding="utf-8"?>
<ds:datastoreItem xmlns:ds="http://schemas.openxmlformats.org/officeDocument/2006/customXml" ds:itemID="{5845d7eb-9a2c-4dcc-a657-f4d17c7c805b}">
  <ds:schemaRefs/>
</ds:datastoreItem>
</file>

<file path=customXml/itemProps3.xml><?xml version="1.0" encoding="utf-8"?>
<ds:datastoreItem xmlns:ds="http://schemas.openxmlformats.org/officeDocument/2006/customXml" ds:itemID="{97f35d8b-f476-486d-a037-5f6f31d65644}">
  <ds:schemaRefs/>
</ds:datastoreItem>
</file>

<file path=customXml/itemProps4.xml><?xml version="1.0" encoding="utf-8"?>
<ds:datastoreItem xmlns:ds="http://schemas.openxmlformats.org/officeDocument/2006/customXml" ds:itemID="{bba5c257-6aa7-48c6-a37f-eb436e99262b}">
  <ds:schemaRefs/>
</ds:datastoreItem>
</file>

<file path=customXml/itemProps5.xml><?xml version="1.0" encoding="utf-8"?>
<ds:datastoreItem xmlns:ds="http://schemas.openxmlformats.org/officeDocument/2006/customXml" ds:itemID="{b30581b9-45f1-430c-90fd-610336c97d94}">
  <ds:schemaRefs/>
</ds:datastoreItem>
</file>

<file path=customXml/itemProps6.xml><?xml version="1.0" encoding="utf-8"?>
<ds:datastoreItem xmlns:ds="http://schemas.openxmlformats.org/officeDocument/2006/customXml" ds:itemID="{19b184c4-dcdc-48d3-9acc-1d2d7888664e}">
  <ds:schemaRefs/>
</ds:datastoreItem>
</file>

<file path=customXml/itemProps7.xml><?xml version="1.0" encoding="utf-8"?>
<ds:datastoreItem xmlns:ds="http://schemas.openxmlformats.org/officeDocument/2006/customXml" ds:itemID="{9219e132-22c0-4291-8f63-a801d9572777}">
  <ds:schemaRefs/>
</ds:datastoreItem>
</file>

<file path=customXml/itemProps8.xml><?xml version="1.0" encoding="utf-8"?>
<ds:datastoreItem xmlns:ds="http://schemas.openxmlformats.org/officeDocument/2006/customXml" ds:itemID="{f4e8855e-ab57-4c6e-9f9b-b8f9f5e1ecba}">
  <ds:schemaRefs/>
</ds:datastoreItem>
</file>

<file path=customXml/itemProps9.xml><?xml version="1.0" encoding="utf-8"?>
<ds:datastoreItem xmlns:ds="http://schemas.openxmlformats.org/officeDocument/2006/customXml" ds:itemID="{30867ea7-5d53-400a-8b7f-3af8d907b925}">
  <ds:schemaRefs/>
</ds:datastoreItem>
</file>

<file path=docProps/app.xml><?xml version="1.0" encoding="utf-8"?>
<Properties xmlns="http://schemas.openxmlformats.org/officeDocument/2006/extended-properties" xmlns:vt="http://schemas.openxmlformats.org/officeDocument/2006/docPropsVTypes">
  <Pages>17</Pages>
  <TotalTime>0</TotalTime>
  <ScaleCrop>false</ScaleCrop>
  <LinksUpToDate>false</LinksUpToDate>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2025-01-21T10:59:00Z</dcterms:created>
  <dc:creator>Dell</dc:creator>
  <cp:lastModifiedBy>Dell</cp:lastModifiedBy>
  <dcterms:modified xsi:type="dcterms:W3CDTF">2025-01-21T05:42:16Z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6E8DFA6EE9864E21AAA3C7A1724F5BEA_13</vt:lpwstr>
  </property>
</Properties>
</file>